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4B" w:rsidRPr="00452271" w:rsidRDefault="00896FAC" w:rsidP="00896FAC">
      <w:pPr>
        <w:ind w:firstLine="709"/>
        <w:rPr>
          <w:rFonts w:ascii="Arial" w:hAnsi="Arial" w:cs="Arial"/>
          <w:b/>
          <w:sz w:val="20"/>
          <w:szCs w:val="20"/>
        </w:rPr>
      </w:pPr>
      <w:r w:rsidRPr="00452271">
        <w:rPr>
          <w:rFonts w:ascii="Arial" w:hAnsi="Arial" w:cs="Arial"/>
          <w:b/>
          <w:sz w:val="20"/>
          <w:szCs w:val="20"/>
        </w:rPr>
        <w:t>V</w:t>
      </w:r>
      <w:r w:rsidR="00452271">
        <w:rPr>
          <w:rFonts w:ascii="Arial" w:hAnsi="Arial" w:cs="Arial"/>
          <w:b/>
          <w:sz w:val="20"/>
          <w:szCs w:val="20"/>
        </w:rPr>
        <w:t>IT</w:t>
      </w:r>
      <w:r w:rsidRPr="00452271">
        <w:rPr>
          <w:rFonts w:ascii="Arial" w:hAnsi="Arial" w:cs="Arial"/>
          <w:b/>
          <w:sz w:val="20"/>
          <w:szCs w:val="20"/>
        </w:rPr>
        <w:t>: Board Resolution</w:t>
      </w:r>
    </w:p>
    <w:p w:rsidR="00896FAC" w:rsidRDefault="00896FAC" w:rsidP="00896FAC">
      <w:pPr>
        <w:ind w:firstLine="709"/>
        <w:rPr>
          <w:rFonts w:ascii="Arial" w:hAnsi="Arial" w:cs="Arial"/>
          <w:sz w:val="20"/>
          <w:szCs w:val="20"/>
        </w:rPr>
      </w:pPr>
      <w:r w:rsidRPr="00452271">
        <w:rPr>
          <w:rFonts w:ascii="Arial" w:hAnsi="Arial" w:cs="Arial"/>
          <w:sz w:val="20"/>
          <w:szCs w:val="20"/>
        </w:rPr>
        <w:t>On 0</w:t>
      </w:r>
      <w:r w:rsidR="00452271">
        <w:rPr>
          <w:rFonts w:ascii="Arial" w:hAnsi="Arial" w:cs="Arial"/>
          <w:sz w:val="20"/>
          <w:szCs w:val="20"/>
        </w:rPr>
        <w:t>7</w:t>
      </w:r>
      <w:r w:rsidRPr="00452271">
        <w:rPr>
          <w:rFonts w:ascii="Arial" w:hAnsi="Arial" w:cs="Arial"/>
          <w:sz w:val="20"/>
          <w:szCs w:val="20"/>
        </w:rPr>
        <w:t xml:space="preserve">/02/2015, </w:t>
      </w:r>
      <w:proofErr w:type="spellStart"/>
      <w:r w:rsidR="00452271" w:rsidRPr="00452271">
        <w:rPr>
          <w:rFonts w:ascii="Arial" w:hAnsi="Arial" w:cs="Arial"/>
          <w:sz w:val="20"/>
          <w:szCs w:val="20"/>
        </w:rPr>
        <w:t>Viglacera</w:t>
      </w:r>
      <w:proofErr w:type="spellEnd"/>
      <w:r w:rsidR="00452271" w:rsidRPr="00452271">
        <w:rPr>
          <w:rFonts w:ascii="Arial" w:hAnsi="Arial" w:cs="Arial"/>
          <w:sz w:val="20"/>
          <w:szCs w:val="20"/>
        </w:rPr>
        <w:t xml:space="preserve"> </w:t>
      </w:r>
      <w:proofErr w:type="spellStart"/>
      <w:r w:rsidR="00452271" w:rsidRPr="00452271">
        <w:rPr>
          <w:rFonts w:ascii="Arial" w:hAnsi="Arial" w:cs="Arial"/>
          <w:sz w:val="20"/>
          <w:szCs w:val="20"/>
        </w:rPr>
        <w:t>Tien</w:t>
      </w:r>
      <w:proofErr w:type="spellEnd"/>
      <w:r w:rsidR="00452271" w:rsidRPr="00452271">
        <w:rPr>
          <w:rFonts w:ascii="Arial" w:hAnsi="Arial" w:cs="Arial"/>
          <w:sz w:val="20"/>
          <w:szCs w:val="20"/>
        </w:rPr>
        <w:t xml:space="preserve"> Son</w:t>
      </w:r>
      <w:r w:rsidR="00452271">
        <w:rPr>
          <w:rFonts w:ascii="Arial" w:hAnsi="Arial" w:cs="Arial"/>
          <w:color w:val="531E1E"/>
          <w:sz w:val="20"/>
          <w:szCs w:val="20"/>
          <w:shd w:val="clear" w:color="auto" w:fill="FFFFFF"/>
        </w:rPr>
        <w:t xml:space="preserve"> </w:t>
      </w:r>
      <w:r w:rsidRPr="00452271">
        <w:rPr>
          <w:rFonts w:ascii="Arial" w:hAnsi="Arial" w:cs="Arial"/>
          <w:sz w:val="20"/>
          <w:szCs w:val="20"/>
        </w:rPr>
        <w:t>Joint Stock Company announced Board resolution as follow:</w:t>
      </w:r>
    </w:p>
    <w:p w:rsidR="0093558F" w:rsidRDefault="0093558F" w:rsidP="00896FAC">
      <w:pPr>
        <w:ind w:firstLine="709"/>
        <w:rPr>
          <w:rFonts w:ascii="Arial" w:hAnsi="Arial" w:cs="Arial"/>
          <w:sz w:val="20"/>
          <w:szCs w:val="20"/>
        </w:rPr>
      </w:pPr>
      <w:r w:rsidRPr="0093558F">
        <w:rPr>
          <w:rFonts w:ascii="Arial" w:hAnsi="Arial" w:cs="Arial"/>
          <w:b/>
          <w:sz w:val="20"/>
          <w:szCs w:val="20"/>
        </w:rPr>
        <w:t>Article 1</w:t>
      </w:r>
      <w:r>
        <w:rPr>
          <w:rFonts w:ascii="Arial" w:hAnsi="Arial" w:cs="Arial"/>
          <w:b/>
          <w:sz w:val="20"/>
          <w:szCs w:val="20"/>
          <w:u w:val="single"/>
        </w:rPr>
        <w:t>:</w:t>
      </w:r>
      <w:r>
        <w:rPr>
          <w:rFonts w:ascii="Arial" w:hAnsi="Arial" w:cs="Arial"/>
          <w:sz w:val="20"/>
          <w:szCs w:val="20"/>
        </w:rPr>
        <w:t xml:space="preserve"> Approve the financial statement 2014 audited by AASC Auditing Co., Ltd. </w:t>
      </w:r>
    </w:p>
    <w:tbl>
      <w:tblPr>
        <w:tblStyle w:val="TableGrid"/>
        <w:tblW w:w="0" w:type="auto"/>
        <w:tblLook w:val="04A0"/>
      </w:tblPr>
      <w:tblGrid>
        <w:gridCol w:w="2802"/>
        <w:gridCol w:w="3260"/>
        <w:gridCol w:w="1701"/>
        <w:gridCol w:w="1813"/>
      </w:tblGrid>
      <w:tr w:rsidR="0093558F" w:rsidTr="0093558F">
        <w:tc>
          <w:tcPr>
            <w:tcW w:w="2802"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Targets</w:t>
            </w:r>
          </w:p>
        </w:tc>
        <w:tc>
          <w:tcPr>
            <w:tcW w:w="3260"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Figure in</w:t>
            </w:r>
          </w:p>
        </w:tc>
        <w:tc>
          <w:tcPr>
            <w:tcW w:w="1701"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Plan</w:t>
            </w:r>
          </w:p>
        </w:tc>
        <w:tc>
          <w:tcPr>
            <w:tcW w:w="1813"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Implement</w:t>
            </w:r>
          </w:p>
        </w:tc>
      </w:tr>
      <w:tr w:rsidR="0093558F" w:rsidTr="0093558F">
        <w:tc>
          <w:tcPr>
            <w:tcW w:w="2802" w:type="dxa"/>
          </w:tcPr>
          <w:p w:rsidR="0093558F" w:rsidRDefault="0093558F" w:rsidP="0093558F">
            <w:pPr>
              <w:spacing w:before="120" w:after="120"/>
              <w:rPr>
                <w:rFonts w:ascii="Arial" w:hAnsi="Arial" w:cs="Arial"/>
                <w:sz w:val="20"/>
                <w:szCs w:val="20"/>
              </w:rPr>
            </w:pPr>
            <w:r>
              <w:rPr>
                <w:rFonts w:ascii="Arial" w:hAnsi="Arial" w:cs="Arial"/>
                <w:sz w:val="20"/>
                <w:szCs w:val="20"/>
              </w:rPr>
              <w:t>Profit before taxes</w:t>
            </w:r>
          </w:p>
        </w:tc>
        <w:tc>
          <w:tcPr>
            <w:tcW w:w="3260" w:type="dxa"/>
          </w:tcPr>
          <w:p w:rsidR="0093558F" w:rsidRDefault="0093558F" w:rsidP="0093558F">
            <w:pPr>
              <w:spacing w:before="120" w:after="120"/>
              <w:rPr>
                <w:rFonts w:ascii="Arial" w:hAnsi="Arial" w:cs="Arial"/>
                <w:sz w:val="20"/>
                <w:szCs w:val="20"/>
              </w:rPr>
            </w:pPr>
            <w:r>
              <w:rPr>
                <w:rFonts w:ascii="Arial" w:hAnsi="Arial" w:cs="Arial"/>
                <w:sz w:val="20"/>
                <w:szCs w:val="20"/>
              </w:rPr>
              <w:t>Million dong</w:t>
            </w:r>
          </w:p>
        </w:tc>
        <w:tc>
          <w:tcPr>
            <w:tcW w:w="1701"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17,400</w:t>
            </w:r>
          </w:p>
        </w:tc>
        <w:tc>
          <w:tcPr>
            <w:tcW w:w="1813"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35,555</w:t>
            </w:r>
          </w:p>
        </w:tc>
      </w:tr>
      <w:tr w:rsidR="0093558F" w:rsidTr="0093558F">
        <w:tc>
          <w:tcPr>
            <w:tcW w:w="2802" w:type="dxa"/>
          </w:tcPr>
          <w:p w:rsidR="0093558F" w:rsidRDefault="0093558F" w:rsidP="0093558F">
            <w:pPr>
              <w:spacing w:before="120" w:after="120"/>
              <w:rPr>
                <w:rFonts w:ascii="Arial" w:hAnsi="Arial" w:cs="Arial"/>
                <w:sz w:val="20"/>
                <w:szCs w:val="20"/>
              </w:rPr>
            </w:pPr>
            <w:r w:rsidRPr="0093558F">
              <w:rPr>
                <w:rFonts w:ascii="Arial" w:hAnsi="Arial" w:cs="Arial"/>
                <w:sz w:val="20"/>
                <w:szCs w:val="20"/>
              </w:rPr>
              <w:t>Fixed asset depreciation</w:t>
            </w:r>
          </w:p>
        </w:tc>
        <w:tc>
          <w:tcPr>
            <w:tcW w:w="3260" w:type="dxa"/>
          </w:tcPr>
          <w:p w:rsidR="0093558F" w:rsidRDefault="0093558F" w:rsidP="0093558F">
            <w:pPr>
              <w:spacing w:before="120" w:after="120"/>
              <w:rPr>
                <w:rFonts w:ascii="Arial" w:hAnsi="Arial" w:cs="Arial"/>
                <w:sz w:val="20"/>
                <w:szCs w:val="20"/>
              </w:rPr>
            </w:pPr>
            <w:r>
              <w:rPr>
                <w:rFonts w:ascii="Arial" w:hAnsi="Arial" w:cs="Arial"/>
                <w:sz w:val="20"/>
                <w:szCs w:val="20"/>
              </w:rPr>
              <w:t>Million dong</w:t>
            </w:r>
          </w:p>
        </w:tc>
        <w:tc>
          <w:tcPr>
            <w:tcW w:w="1701"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41,122</w:t>
            </w:r>
          </w:p>
        </w:tc>
        <w:tc>
          <w:tcPr>
            <w:tcW w:w="1813"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41,384</w:t>
            </w:r>
          </w:p>
        </w:tc>
      </w:tr>
      <w:tr w:rsidR="0093558F" w:rsidTr="0093558F">
        <w:tc>
          <w:tcPr>
            <w:tcW w:w="2802" w:type="dxa"/>
          </w:tcPr>
          <w:p w:rsidR="0093558F" w:rsidRDefault="0093558F" w:rsidP="0093558F">
            <w:pPr>
              <w:spacing w:before="120" w:after="120"/>
              <w:rPr>
                <w:rFonts w:ascii="Arial" w:hAnsi="Arial" w:cs="Arial"/>
                <w:sz w:val="20"/>
                <w:szCs w:val="20"/>
              </w:rPr>
            </w:pPr>
            <w:r>
              <w:rPr>
                <w:rFonts w:ascii="Arial" w:hAnsi="Arial" w:cs="Arial"/>
                <w:sz w:val="20"/>
                <w:szCs w:val="20"/>
              </w:rPr>
              <w:t>Customer’s receivable</w:t>
            </w:r>
          </w:p>
        </w:tc>
        <w:tc>
          <w:tcPr>
            <w:tcW w:w="3260" w:type="dxa"/>
          </w:tcPr>
          <w:p w:rsidR="0093558F" w:rsidRDefault="0093558F" w:rsidP="0093558F">
            <w:pPr>
              <w:spacing w:before="120" w:after="120"/>
              <w:rPr>
                <w:rFonts w:ascii="Arial" w:hAnsi="Arial" w:cs="Arial"/>
                <w:sz w:val="20"/>
                <w:szCs w:val="20"/>
              </w:rPr>
            </w:pPr>
            <w:r>
              <w:rPr>
                <w:rFonts w:ascii="Arial" w:hAnsi="Arial" w:cs="Arial"/>
                <w:sz w:val="20"/>
                <w:szCs w:val="20"/>
              </w:rPr>
              <w:t>Million dong</w:t>
            </w:r>
          </w:p>
        </w:tc>
        <w:tc>
          <w:tcPr>
            <w:tcW w:w="1701"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36,000</w:t>
            </w:r>
          </w:p>
        </w:tc>
        <w:tc>
          <w:tcPr>
            <w:tcW w:w="1813"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50,348</w:t>
            </w:r>
          </w:p>
        </w:tc>
      </w:tr>
      <w:tr w:rsidR="0093558F" w:rsidTr="0093558F">
        <w:tc>
          <w:tcPr>
            <w:tcW w:w="2802" w:type="dxa"/>
          </w:tcPr>
          <w:p w:rsidR="0093558F" w:rsidRDefault="0093558F" w:rsidP="0093558F">
            <w:pPr>
              <w:spacing w:before="120" w:after="120"/>
              <w:rPr>
                <w:rFonts w:ascii="Arial" w:hAnsi="Arial" w:cs="Arial"/>
                <w:sz w:val="20"/>
                <w:szCs w:val="20"/>
              </w:rPr>
            </w:pPr>
            <w:r>
              <w:rPr>
                <w:rFonts w:ascii="Arial" w:hAnsi="Arial" w:cs="Arial"/>
                <w:sz w:val="20"/>
                <w:szCs w:val="20"/>
              </w:rPr>
              <w:t>Average income of labors</w:t>
            </w:r>
          </w:p>
        </w:tc>
        <w:tc>
          <w:tcPr>
            <w:tcW w:w="3260" w:type="dxa"/>
          </w:tcPr>
          <w:p w:rsidR="0093558F" w:rsidRDefault="0093558F" w:rsidP="0093558F">
            <w:pPr>
              <w:spacing w:before="120" w:after="120"/>
              <w:rPr>
                <w:rFonts w:ascii="Arial" w:hAnsi="Arial" w:cs="Arial"/>
                <w:sz w:val="20"/>
                <w:szCs w:val="20"/>
              </w:rPr>
            </w:pPr>
            <w:r>
              <w:rPr>
                <w:rFonts w:ascii="Arial" w:hAnsi="Arial" w:cs="Arial"/>
                <w:sz w:val="20"/>
                <w:szCs w:val="20"/>
              </w:rPr>
              <w:t>Million dong/person/month</w:t>
            </w:r>
          </w:p>
        </w:tc>
        <w:tc>
          <w:tcPr>
            <w:tcW w:w="1701"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7.1</w:t>
            </w:r>
          </w:p>
        </w:tc>
        <w:tc>
          <w:tcPr>
            <w:tcW w:w="1813" w:type="dxa"/>
          </w:tcPr>
          <w:p w:rsidR="0093558F" w:rsidRDefault="0093558F" w:rsidP="0093558F">
            <w:pPr>
              <w:spacing w:before="120" w:after="120"/>
              <w:jc w:val="right"/>
              <w:rPr>
                <w:rFonts w:ascii="Arial" w:hAnsi="Arial" w:cs="Arial"/>
                <w:sz w:val="20"/>
                <w:szCs w:val="20"/>
              </w:rPr>
            </w:pPr>
            <w:r>
              <w:rPr>
                <w:rFonts w:ascii="Arial" w:hAnsi="Arial" w:cs="Arial"/>
                <w:sz w:val="20"/>
                <w:szCs w:val="20"/>
              </w:rPr>
              <w:t>7.4</w:t>
            </w:r>
          </w:p>
        </w:tc>
      </w:tr>
    </w:tbl>
    <w:p w:rsidR="0093558F" w:rsidRDefault="0093558F" w:rsidP="00896FAC">
      <w:pPr>
        <w:ind w:firstLine="709"/>
        <w:rPr>
          <w:rFonts w:ascii="Arial" w:hAnsi="Arial" w:cs="Arial"/>
          <w:sz w:val="20"/>
          <w:szCs w:val="20"/>
        </w:rPr>
      </w:pPr>
      <w:r>
        <w:rPr>
          <w:rFonts w:ascii="Arial" w:hAnsi="Arial" w:cs="Arial"/>
          <w:b/>
          <w:sz w:val="20"/>
          <w:szCs w:val="20"/>
        </w:rPr>
        <w:t xml:space="preserve">Article 2: </w:t>
      </w:r>
      <w:r>
        <w:rPr>
          <w:rFonts w:ascii="Arial" w:hAnsi="Arial" w:cs="Arial"/>
          <w:sz w:val="20"/>
          <w:szCs w:val="20"/>
        </w:rPr>
        <w:t>Approve the measure of profit distribution 2014</w:t>
      </w:r>
    </w:p>
    <w:tbl>
      <w:tblPr>
        <w:tblStyle w:val="TableGrid"/>
        <w:tblW w:w="0" w:type="auto"/>
        <w:tblLook w:val="04A0"/>
      </w:tblPr>
      <w:tblGrid>
        <w:gridCol w:w="959"/>
        <w:gridCol w:w="5812"/>
        <w:gridCol w:w="2805"/>
      </w:tblGrid>
      <w:tr w:rsidR="0093558F" w:rsidTr="00043900">
        <w:tc>
          <w:tcPr>
            <w:tcW w:w="959"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No.</w:t>
            </w:r>
          </w:p>
        </w:tc>
        <w:tc>
          <w:tcPr>
            <w:tcW w:w="5812"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Target</w:t>
            </w:r>
          </w:p>
        </w:tc>
        <w:tc>
          <w:tcPr>
            <w:tcW w:w="2805" w:type="dxa"/>
          </w:tcPr>
          <w:p w:rsidR="0093558F" w:rsidRPr="0093558F" w:rsidRDefault="0093558F" w:rsidP="0093558F">
            <w:pPr>
              <w:spacing w:before="120" w:after="120"/>
              <w:jc w:val="center"/>
              <w:rPr>
                <w:rFonts w:ascii="Arial" w:hAnsi="Arial" w:cs="Arial"/>
                <w:b/>
                <w:sz w:val="20"/>
                <w:szCs w:val="20"/>
              </w:rPr>
            </w:pPr>
            <w:r w:rsidRPr="0093558F">
              <w:rPr>
                <w:rFonts w:ascii="Arial" w:hAnsi="Arial" w:cs="Arial"/>
                <w:b/>
                <w:sz w:val="20"/>
                <w:szCs w:val="20"/>
              </w:rPr>
              <w:t>Amount (dong)</w:t>
            </w:r>
          </w:p>
        </w:tc>
      </w:tr>
      <w:tr w:rsidR="0093558F" w:rsidTr="00043900">
        <w:tc>
          <w:tcPr>
            <w:tcW w:w="959" w:type="dxa"/>
          </w:tcPr>
          <w:p w:rsidR="0093558F" w:rsidRDefault="0093558F" w:rsidP="0093558F">
            <w:pPr>
              <w:spacing w:before="120" w:after="120"/>
              <w:rPr>
                <w:rFonts w:ascii="Arial" w:hAnsi="Arial" w:cs="Arial"/>
                <w:sz w:val="20"/>
                <w:szCs w:val="20"/>
              </w:rPr>
            </w:pPr>
            <w:r>
              <w:rPr>
                <w:rFonts w:ascii="Arial" w:hAnsi="Arial" w:cs="Arial"/>
                <w:sz w:val="20"/>
                <w:szCs w:val="20"/>
              </w:rPr>
              <w:t>1</w:t>
            </w:r>
          </w:p>
        </w:tc>
        <w:tc>
          <w:tcPr>
            <w:tcW w:w="5812" w:type="dxa"/>
          </w:tcPr>
          <w:p w:rsidR="0093558F" w:rsidRDefault="00043900" w:rsidP="0093558F">
            <w:pPr>
              <w:spacing w:before="120" w:after="120"/>
              <w:rPr>
                <w:rFonts w:ascii="Arial" w:hAnsi="Arial" w:cs="Arial"/>
                <w:sz w:val="20"/>
                <w:szCs w:val="20"/>
              </w:rPr>
            </w:pPr>
            <w:r>
              <w:rPr>
                <w:rFonts w:ascii="Arial" w:hAnsi="Arial" w:cs="Arial"/>
                <w:sz w:val="20"/>
                <w:szCs w:val="20"/>
              </w:rPr>
              <w:t>Undistributed profit after taxes until 31/12/2014</w:t>
            </w:r>
          </w:p>
        </w:tc>
        <w:tc>
          <w:tcPr>
            <w:tcW w:w="2805" w:type="dxa"/>
          </w:tcPr>
          <w:p w:rsidR="0093558F" w:rsidRDefault="00043900" w:rsidP="00043900">
            <w:pPr>
              <w:spacing w:before="120" w:after="120"/>
              <w:jc w:val="right"/>
              <w:rPr>
                <w:rFonts w:ascii="Arial" w:hAnsi="Arial" w:cs="Arial"/>
                <w:sz w:val="20"/>
                <w:szCs w:val="20"/>
              </w:rPr>
            </w:pPr>
            <w:r>
              <w:rPr>
                <w:rFonts w:ascii="Arial" w:hAnsi="Arial" w:cs="Arial"/>
                <w:sz w:val="20"/>
                <w:szCs w:val="20"/>
              </w:rPr>
              <w:t>30,991,841,676</w:t>
            </w:r>
          </w:p>
        </w:tc>
      </w:tr>
      <w:tr w:rsidR="0093558F" w:rsidTr="00043900">
        <w:tc>
          <w:tcPr>
            <w:tcW w:w="959" w:type="dxa"/>
          </w:tcPr>
          <w:p w:rsidR="0093558F" w:rsidRDefault="0093558F" w:rsidP="0093558F">
            <w:pPr>
              <w:spacing w:before="120" w:after="120"/>
              <w:rPr>
                <w:rFonts w:ascii="Arial" w:hAnsi="Arial" w:cs="Arial"/>
                <w:sz w:val="20"/>
                <w:szCs w:val="20"/>
              </w:rPr>
            </w:pPr>
            <w:r>
              <w:rPr>
                <w:rFonts w:ascii="Arial" w:hAnsi="Arial" w:cs="Arial"/>
                <w:sz w:val="20"/>
                <w:szCs w:val="20"/>
              </w:rPr>
              <w:t>2</w:t>
            </w:r>
          </w:p>
        </w:tc>
        <w:tc>
          <w:tcPr>
            <w:tcW w:w="5812" w:type="dxa"/>
          </w:tcPr>
          <w:p w:rsidR="0093558F" w:rsidRDefault="00043900" w:rsidP="00043900">
            <w:pPr>
              <w:spacing w:before="120" w:after="120"/>
              <w:rPr>
                <w:rFonts w:ascii="Arial" w:hAnsi="Arial" w:cs="Arial"/>
                <w:sz w:val="20"/>
                <w:szCs w:val="20"/>
              </w:rPr>
            </w:pPr>
            <w:r>
              <w:rPr>
                <w:rFonts w:ascii="Arial" w:hAnsi="Arial" w:cs="Arial"/>
                <w:sz w:val="20"/>
                <w:szCs w:val="20"/>
              </w:rPr>
              <w:t>A</w:t>
            </w:r>
            <w:r w:rsidRPr="00043900">
              <w:rPr>
                <w:rFonts w:ascii="Arial" w:hAnsi="Arial" w:cs="Arial"/>
                <w:sz w:val="20"/>
                <w:szCs w:val="20"/>
              </w:rPr>
              <w:t>ppropriated funds</w:t>
            </w:r>
            <w:r>
              <w:rPr>
                <w:rFonts w:ascii="Arial" w:hAnsi="Arial" w:cs="Arial"/>
                <w:sz w:val="20"/>
                <w:szCs w:val="20"/>
              </w:rPr>
              <w:t xml:space="preserve"> reward - welfare</w:t>
            </w:r>
          </w:p>
        </w:tc>
        <w:tc>
          <w:tcPr>
            <w:tcW w:w="2805" w:type="dxa"/>
          </w:tcPr>
          <w:p w:rsidR="0093558F" w:rsidRDefault="00043900" w:rsidP="00043900">
            <w:pPr>
              <w:spacing w:before="120" w:after="120"/>
              <w:jc w:val="right"/>
              <w:rPr>
                <w:rFonts w:ascii="Arial" w:hAnsi="Arial" w:cs="Arial"/>
                <w:sz w:val="20"/>
                <w:szCs w:val="20"/>
              </w:rPr>
            </w:pPr>
            <w:r>
              <w:rPr>
                <w:rFonts w:ascii="Arial" w:hAnsi="Arial" w:cs="Arial"/>
                <w:sz w:val="20"/>
                <w:szCs w:val="20"/>
              </w:rPr>
              <w:t>679,841,676</w:t>
            </w:r>
          </w:p>
        </w:tc>
      </w:tr>
      <w:tr w:rsidR="0093558F" w:rsidTr="00043900">
        <w:tc>
          <w:tcPr>
            <w:tcW w:w="959" w:type="dxa"/>
          </w:tcPr>
          <w:p w:rsidR="0093558F" w:rsidRDefault="0093558F" w:rsidP="0093558F">
            <w:pPr>
              <w:spacing w:before="120" w:after="120"/>
              <w:rPr>
                <w:rFonts w:ascii="Arial" w:hAnsi="Arial" w:cs="Arial"/>
                <w:sz w:val="20"/>
                <w:szCs w:val="20"/>
              </w:rPr>
            </w:pPr>
            <w:r>
              <w:rPr>
                <w:rFonts w:ascii="Arial" w:hAnsi="Arial" w:cs="Arial"/>
                <w:sz w:val="20"/>
                <w:szCs w:val="20"/>
              </w:rPr>
              <w:t>3</w:t>
            </w:r>
          </w:p>
        </w:tc>
        <w:tc>
          <w:tcPr>
            <w:tcW w:w="5812" w:type="dxa"/>
          </w:tcPr>
          <w:p w:rsidR="0093558F" w:rsidRDefault="00043900" w:rsidP="0093558F">
            <w:pPr>
              <w:spacing w:before="120" w:after="120"/>
              <w:rPr>
                <w:rFonts w:ascii="Arial" w:hAnsi="Arial" w:cs="Arial"/>
                <w:sz w:val="20"/>
                <w:szCs w:val="20"/>
              </w:rPr>
            </w:pPr>
            <w:r>
              <w:rPr>
                <w:rFonts w:ascii="Arial" w:hAnsi="Arial" w:cs="Arial"/>
                <w:sz w:val="20"/>
                <w:szCs w:val="20"/>
              </w:rPr>
              <w:t>Reward BOD, Executive Board according to Resolution of AGM 2014</w:t>
            </w:r>
          </w:p>
        </w:tc>
        <w:tc>
          <w:tcPr>
            <w:tcW w:w="2805" w:type="dxa"/>
          </w:tcPr>
          <w:p w:rsidR="0093558F" w:rsidRDefault="00043900" w:rsidP="00043900">
            <w:pPr>
              <w:spacing w:before="120" w:after="120"/>
              <w:jc w:val="right"/>
              <w:rPr>
                <w:rFonts w:ascii="Arial" w:hAnsi="Arial" w:cs="Arial"/>
                <w:sz w:val="20"/>
                <w:szCs w:val="20"/>
              </w:rPr>
            </w:pPr>
            <w:r>
              <w:rPr>
                <w:rFonts w:ascii="Arial" w:hAnsi="Arial" w:cs="Arial"/>
                <w:sz w:val="20"/>
                <w:szCs w:val="20"/>
              </w:rPr>
              <w:t>3,450,000,000</w:t>
            </w:r>
          </w:p>
        </w:tc>
      </w:tr>
      <w:tr w:rsidR="0093558F" w:rsidTr="00043900">
        <w:tc>
          <w:tcPr>
            <w:tcW w:w="959" w:type="dxa"/>
          </w:tcPr>
          <w:p w:rsidR="0093558F" w:rsidRDefault="0093558F" w:rsidP="0093558F">
            <w:pPr>
              <w:spacing w:before="120" w:after="120"/>
              <w:rPr>
                <w:rFonts w:ascii="Arial" w:hAnsi="Arial" w:cs="Arial"/>
                <w:sz w:val="20"/>
                <w:szCs w:val="20"/>
              </w:rPr>
            </w:pPr>
            <w:r>
              <w:rPr>
                <w:rFonts w:ascii="Arial" w:hAnsi="Arial" w:cs="Arial"/>
                <w:sz w:val="20"/>
                <w:szCs w:val="20"/>
              </w:rPr>
              <w:t>4</w:t>
            </w:r>
          </w:p>
        </w:tc>
        <w:tc>
          <w:tcPr>
            <w:tcW w:w="5812" w:type="dxa"/>
          </w:tcPr>
          <w:p w:rsidR="0093558F" w:rsidRDefault="00043900" w:rsidP="0093558F">
            <w:pPr>
              <w:spacing w:before="120" w:after="120"/>
              <w:rPr>
                <w:rFonts w:ascii="Arial" w:hAnsi="Arial" w:cs="Arial"/>
                <w:sz w:val="20"/>
                <w:szCs w:val="20"/>
              </w:rPr>
            </w:pPr>
            <w:r>
              <w:rPr>
                <w:rFonts w:ascii="Arial" w:hAnsi="Arial" w:cs="Arial"/>
                <w:sz w:val="20"/>
                <w:szCs w:val="20"/>
              </w:rPr>
              <w:t>Divide dividend: 27%, including</w:t>
            </w:r>
          </w:p>
          <w:p w:rsidR="00043900" w:rsidRDefault="00043900" w:rsidP="00043900">
            <w:pPr>
              <w:pStyle w:val="ListParagraph"/>
              <w:numPr>
                <w:ilvl w:val="0"/>
                <w:numId w:val="4"/>
              </w:numPr>
              <w:rPr>
                <w:rFonts w:ascii="Arial" w:hAnsi="Arial" w:cs="Arial"/>
                <w:sz w:val="20"/>
                <w:szCs w:val="20"/>
              </w:rPr>
            </w:pPr>
            <w:r>
              <w:rPr>
                <w:rFonts w:ascii="Arial" w:hAnsi="Arial" w:cs="Arial"/>
                <w:sz w:val="20"/>
                <w:szCs w:val="20"/>
              </w:rPr>
              <w:t>Divide dividend by share, rate 15%</w:t>
            </w:r>
          </w:p>
          <w:p w:rsidR="00043900" w:rsidRPr="00043900" w:rsidRDefault="00043900" w:rsidP="00043900">
            <w:pPr>
              <w:pStyle w:val="ListParagraph"/>
              <w:numPr>
                <w:ilvl w:val="0"/>
                <w:numId w:val="4"/>
              </w:numPr>
              <w:rPr>
                <w:rFonts w:ascii="Arial" w:hAnsi="Arial" w:cs="Arial"/>
                <w:sz w:val="20"/>
                <w:szCs w:val="20"/>
              </w:rPr>
            </w:pPr>
            <w:r>
              <w:rPr>
                <w:rFonts w:ascii="Arial" w:hAnsi="Arial" w:cs="Arial"/>
                <w:sz w:val="20"/>
                <w:szCs w:val="20"/>
              </w:rPr>
              <w:t>Divide dividend on cash, rate 12%</w:t>
            </w:r>
          </w:p>
        </w:tc>
        <w:tc>
          <w:tcPr>
            <w:tcW w:w="2805" w:type="dxa"/>
          </w:tcPr>
          <w:p w:rsidR="00043900" w:rsidRDefault="00043900" w:rsidP="00043900">
            <w:pPr>
              <w:spacing w:before="120" w:after="120"/>
              <w:jc w:val="right"/>
              <w:rPr>
                <w:rFonts w:ascii="Arial" w:hAnsi="Arial" w:cs="Arial"/>
                <w:sz w:val="20"/>
                <w:szCs w:val="20"/>
              </w:rPr>
            </w:pPr>
          </w:p>
          <w:p w:rsidR="0093558F" w:rsidRPr="00043900" w:rsidRDefault="00043900" w:rsidP="00043900">
            <w:pPr>
              <w:pStyle w:val="ListParagraph"/>
              <w:numPr>
                <w:ilvl w:val="0"/>
                <w:numId w:val="4"/>
              </w:numPr>
              <w:jc w:val="right"/>
              <w:rPr>
                <w:rFonts w:ascii="Arial" w:hAnsi="Arial" w:cs="Arial"/>
                <w:sz w:val="20"/>
                <w:szCs w:val="20"/>
              </w:rPr>
            </w:pPr>
            <w:r w:rsidRPr="00043900">
              <w:rPr>
                <w:rFonts w:ascii="Arial" w:hAnsi="Arial" w:cs="Arial"/>
                <w:sz w:val="20"/>
                <w:szCs w:val="20"/>
              </w:rPr>
              <w:t>14,850,000,000</w:t>
            </w:r>
          </w:p>
          <w:p w:rsidR="00043900" w:rsidRPr="00043900" w:rsidRDefault="00043900" w:rsidP="00043900">
            <w:pPr>
              <w:pStyle w:val="ListParagraph"/>
              <w:numPr>
                <w:ilvl w:val="0"/>
                <w:numId w:val="4"/>
              </w:numPr>
              <w:jc w:val="right"/>
              <w:rPr>
                <w:rFonts w:ascii="Arial" w:hAnsi="Arial" w:cs="Arial"/>
                <w:sz w:val="20"/>
                <w:szCs w:val="20"/>
              </w:rPr>
            </w:pPr>
            <w:r w:rsidRPr="00043900">
              <w:rPr>
                <w:rFonts w:ascii="Arial" w:hAnsi="Arial" w:cs="Arial"/>
                <w:sz w:val="20"/>
                <w:szCs w:val="20"/>
              </w:rPr>
              <w:t>11,880,000,000</w:t>
            </w:r>
          </w:p>
        </w:tc>
      </w:tr>
      <w:tr w:rsidR="0093558F" w:rsidTr="00043900">
        <w:tc>
          <w:tcPr>
            <w:tcW w:w="959" w:type="dxa"/>
          </w:tcPr>
          <w:p w:rsidR="0093558F" w:rsidRDefault="0093558F" w:rsidP="0093558F">
            <w:pPr>
              <w:spacing w:before="120" w:after="120"/>
              <w:rPr>
                <w:rFonts w:ascii="Arial" w:hAnsi="Arial" w:cs="Arial"/>
                <w:sz w:val="20"/>
                <w:szCs w:val="20"/>
              </w:rPr>
            </w:pPr>
            <w:r>
              <w:rPr>
                <w:rFonts w:ascii="Arial" w:hAnsi="Arial" w:cs="Arial"/>
                <w:sz w:val="20"/>
                <w:szCs w:val="20"/>
              </w:rPr>
              <w:t>5</w:t>
            </w:r>
          </w:p>
        </w:tc>
        <w:tc>
          <w:tcPr>
            <w:tcW w:w="5812" w:type="dxa"/>
          </w:tcPr>
          <w:p w:rsidR="0093558F" w:rsidRDefault="00043900" w:rsidP="0093558F">
            <w:pPr>
              <w:spacing w:before="120" w:after="120"/>
              <w:rPr>
                <w:rFonts w:ascii="Arial" w:hAnsi="Arial" w:cs="Arial"/>
                <w:sz w:val="20"/>
                <w:szCs w:val="20"/>
              </w:rPr>
            </w:pPr>
            <w:r>
              <w:rPr>
                <w:rFonts w:ascii="Arial" w:hAnsi="Arial" w:cs="Arial"/>
                <w:sz w:val="20"/>
                <w:szCs w:val="20"/>
              </w:rPr>
              <w:t xml:space="preserve">Pay compensation for BOD </w:t>
            </w:r>
          </w:p>
        </w:tc>
        <w:tc>
          <w:tcPr>
            <w:tcW w:w="2805" w:type="dxa"/>
          </w:tcPr>
          <w:p w:rsidR="0093558F" w:rsidRDefault="00043900" w:rsidP="00043900">
            <w:pPr>
              <w:spacing w:before="120" w:after="120"/>
              <w:jc w:val="right"/>
              <w:rPr>
                <w:rFonts w:ascii="Arial" w:hAnsi="Arial" w:cs="Arial"/>
                <w:sz w:val="20"/>
                <w:szCs w:val="20"/>
              </w:rPr>
            </w:pPr>
            <w:r>
              <w:rPr>
                <w:rFonts w:ascii="Arial" w:hAnsi="Arial" w:cs="Arial"/>
                <w:sz w:val="20"/>
                <w:szCs w:val="20"/>
              </w:rPr>
              <w:t>132,000,000</w:t>
            </w:r>
          </w:p>
        </w:tc>
      </w:tr>
      <w:tr w:rsidR="0093558F" w:rsidTr="00043900">
        <w:tc>
          <w:tcPr>
            <w:tcW w:w="959" w:type="dxa"/>
          </w:tcPr>
          <w:p w:rsidR="0093558F" w:rsidRDefault="0093558F" w:rsidP="0093558F">
            <w:pPr>
              <w:spacing w:before="120" w:after="120"/>
              <w:rPr>
                <w:rFonts w:ascii="Arial" w:hAnsi="Arial" w:cs="Arial"/>
                <w:sz w:val="20"/>
                <w:szCs w:val="20"/>
              </w:rPr>
            </w:pPr>
            <w:r>
              <w:rPr>
                <w:rFonts w:ascii="Arial" w:hAnsi="Arial" w:cs="Arial"/>
                <w:sz w:val="20"/>
                <w:szCs w:val="20"/>
              </w:rPr>
              <w:t>6</w:t>
            </w:r>
          </w:p>
        </w:tc>
        <w:tc>
          <w:tcPr>
            <w:tcW w:w="5812" w:type="dxa"/>
          </w:tcPr>
          <w:p w:rsidR="0093558F" w:rsidRDefault="00043900" w:rsidP="00043900">
            <w:pPr>
              <w:spacing w:before="120" w:after="120"/>
              <w:rPr>
                <w:rFonts w:ascii="Arial" w:hAnsi="Arial" w:cs="Arial"/>
                <w:sz w:val="20"/>
                <w:szCs w:val="20"/>
              </w:rPr>
            </w:pPr>
            <w:r>
              <w:rPr>
                <w:rFonts w:ascii="Arial" w:hAnsi="Arial" w:cs="Arial"/>
                <w:sz w:val="20"/>
                <w:szCs w:val="20"/>
              </w:rPr>
              <w:t>Remained profit for next year</w:t>
            </w:r>
          </w:p>
        </w:tc>
        <w:tc>
          <w:tcPr>
            <w:tcW w:w="2805" w:type="dxa"/>
          </w:tcPr>
          <w:p w:rsidR="0093558F" w:rsidRDefault="00043900" w:rsidP="00043900">
            <w:pPr>
              <w:spacing w:before="120" w:after="120"/>
              <w:jc w:val="right"/>
              <w:rPr>
                <w:rFonts w:ascii="Arial" w:hAnsi="Arial" w:cs="Arial"/>
                <w:sz w:val="20"/>
                <w:szCs w:val="20"/>
              </w:rPr>
            </w:pPr>
            <w:r>
              <w:rPr>
                <w:rFonts w:ascii="Arial" w:hAnsi="Arial" w:cs="Arial"/>
                <w:sz w:val="20"/>
                <w:szCs w:val="20"/>
              </w:rPr>
              <w:t>0</w:t>
            </w:r>
          </w:p>
        </w:tc>
      </w:tr>
    </w:tbl>
    <w:p w:rsidR="0093558F" w:rsidRDefault="00043900" w:rsidP="00896FAC">
      <w:pPr>
        <w:ind w:firstLine="709"/>
        <w:rPr>
          <w:rFonts w:ascii="Arial" w:hAnsi="Arial" w:cs="Arial"/>
          <w:sz w:val="20"/>
          <w:szCs w:val="20"/>
        </w:rPr>
      </w:pPr>
      <w:r>
        <w:rPr>
          <w:rFonts w:ascii="Arial" w:hAnsi="Arial" w:cs="Arial"/>
          <w:b/>
          <w:sz w:val="20"/>
          <w:szCs w:val="20"/>
        </w:rPr>
        <w:t xml:space="preserve">Article 3: </w:t>
      </w:r>
      <w:r>
        <w:rPr>
          <w:rFonts w:ascii="Arial" w:hAnsi="Arial" w:cs="Arial"/>
          <w:sz w:val="20"/>
          <w:szCs w:val="20"/>
        </w:rPr>
        <w:t>Approve result of business production operation supervising of SB 2014</w:t>
      </w:r>
    </w:p>
    <w:tbl>
      <w:tblPr>
        <w:tblStyle w:val="TableGrid"/>
        <w:tblW w:w="0" w:type="auto"/>
        <w:tblLook w:val="04A0"/>
      </w:tblPr>
      <w:tblGrid>
        <w:gridCol w:w="959"/>
        <w:gridCol w:w="4536"/>
        <w:gridCol w:w="1687"/>
        <w:gridCol w:w="2394"/>
      </w:tblGrid>
      <w:tr w:rsidR="00043900" w:rsidTr="00043900">
        <w:tc>
          <w:tcPr>
            <w:tcW w:w="959" w:type="dxa"/>
          </w:tcPr>
          <w:p w:rsidR="00043900" w:rsidRPr="00043900" w:rsidRDefault="00043900" w:rsidP="00043900">
            <w:pPr>
              <w:spacing w:before="120" w:after="120"/>
              <w:jc w:val="center"/>
              <w:rPr>
                <w:rFonts w:ascii="Arial" w:hAnsi="Arial" w:cs="Arial"/>
                <w:b/>
                <w:sz w:val="20"/>
                <w:szCs w:val="20"/>
              </w:rPr>
            </w:pPr>
            <w:r w:rsidRPr="00043900">
              <w:rPr>
                <w:rFonts w:ascii="Arial" w:hAnsi="Arial" w:cs="Arial"/>
                <w:b/>
                <w:sz w:val="20"/>
                <w:szCs w:val="20"/>
              </w:rPr>
              <w:t>No.</w:t>
            </w:r>
          </w:p>
        </w:tc>
        <w:tc>
          <w:tcPr>
            <w:tcW w:w="4536" w:type="dxa"/>
          </w:tcPr>
          <w:p w:rsidR="00043900" w:rsidRPr="00043900" w:rsidRDefault="00043900" w:rsidP="00043900">
            <w:pPr>
              <w:spacing w:before="120" w:after="120"/>
              <w:jc w:val="center"/>
              <w:rPr>
                <w:rFonts w:ascii="Arial" w:hAnsi="Arial" w:cs="Arial"/>
                <w:b/>
                <w:sz w:val="20"/>
                <w:szCs w:val="20"/>
              </w:rPr>
            </w:pPr>
            <w:r w:rsidRPr="00043900">
              <w:rPr>
                <w:rFonts w:ascii="Arial" w:hAnsi="Arial" w:cs="Arial"/>
                <w:b/>
                <w:sz w:val="20"/>
                <w:szCs w:val="20"/>
              </w:rPr>
              <w:t>Target</w:t>
            </w:r>
          </w:p>
        </w:tc>
        <w:tc>
          <w:tcPr>
            <w:tcW w:w="1687" w:type="dxa"/>
          </w:tcPr>
          <w:p w:rsidR="00043900" w:rsidRPr="00043900" w:rsidRDefault="00043900" w:rsidP="00043900">
            <w:pPr>
              <w:spacing w:before="120" w:after="120"/>
              <w:jc w:val="center"/>
              <w:rPr>
                <w:rFonts w:ascii="Arial" w:hAnsi="Arial" w:cs="Arial"/>
                <w:b/>
                <w:sz w:val="20"/>
                <w:szCs w:val="20"/>
              </w:rPr>
            </w:pPr>
            <w:r w:rsidRPr="00043900">
              <w:rPr>
                <w:rFonts w:ascii="Arial" w:hAnsi="Arial" w:cs="Arial"/>
                <w:b/>
                <w:sz w:val="20"/>
                <w:szCs w:val="20"/>
              </w:rPr>
              <w:t>Figure in</w:t>
            </w:r>
          </w:p>
        </w:tc>
        <w:tc>
          <w:tcPr>
            <w:tcW w:w="2394" w:type="dxa"/>
          </w:tcPr>
          <w:p w:rsidR="00043900" w:rsidRPr="00043900" w:rsidRDefault="00043900" w:rsidP="00043900">
            <w:pPr>
              <w:spacing w:before="120" w:after="120"/>
              <w:jc w:val="center"/>
              <w:rPr>
                <w:rFonts w:ascii="Arial" w:hAnsi="Arial" w:cs="Arial"/>
                <w:b/>
                <w:sz w:val="20"/>
                <w:szCs w:val="20"/>
              </w:rPr>
            </w:pPr>
            <w:r w:rsidRPr="00043900">
              <w:rPr>
                <w:rFonts w:ascii="Arial" w:hAnsi="Arial" w:cs="Arial"/>
                <w:b/>
                <w:sz w:val="20"/>
                <w:szCs w:val="20"/>
              </w:rPr>
              <w:t>Value (dong)</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1</w:t>
            </w:r>
          </w:p>
        </w:tc>
        <w:tc>
          <w:tcPr>
            <w:tcW w:w="4536" w:type="dxa"/>
          </w:tcPr>
          <w:p w:rsidR="00043900" w:rsidRDefault="00292AEB" w:rsidP="00043900">
            <w:pPr>
              <w:spacing w:before="120" w:after="120"/>
              <w:rPr>
                <w:rFonts w:ascii="Arial" w:hAnsi="Arial" w:cs="Arial"/>
                <w:sz w:val="20"/>
                <w:szCs w:val="20"/>
              </w:rPr>
            </w:pPr>
            <w:r>
              <w:rPr>
                <w:rFonts w:ascii="Arial" w:hAnsi="Arial" w:cs="Arial"/>
                <w:sz w:val="20"/>
                <w:szCs w:val="20"/>
              </w:rPr>
              <w:t>Production</w:t>
            </w:r>
          </w:p>
        </w:tc>
        <w:tc>
          <w:tcPr>
            <w:tcW w:w="1687" w:type="dxa"/>
            <w:vAlign w:val="center"/>
          </w:tcPr>
          <w:p w:rsidR="00043900" w:rsidRDefault="00043900" w:rsidP="00043900">
            <w:pPr>
              <w:spacing w:before="120" w:after="120"/>
              <w:jc w:val="right"/>
              <w:rPr>
                <w:rFonts w:ascii="Arial" w:hAnsi="Arial" w:cs="Arial"/>
                <w:sz w:val="20"/>
                <w:szCs w:val="20"/>
              </w:rPr>
            </w:pPr>
            <w:r>
              <w:rPr>
                <w:rFonts w:ascii="Arial" w:hAnsi="Arial" w:cs="Arial"/>
                <w:sz w:val="20"/>
                <w:szCs w:val="20"/>
              </w:rPr>
              <w:t>m</w:t>
            </w:r>
            <w:r w:rsidRPr="00043900">
              <w:rPr>
                <w:rFonts w:ascii="Arial" w:hAnsi="Arial" w:cs="Arial"/>
                <w:sz w:val="20"/>
                <w:szCs w:val="20"/>
                <w:vertAlign w:val="superscript"/>
              </w:rPr>
              <w:t>2</w:t>
            </w:r>
          </w:p>
        </w:tc>
        <w:tc>
          <w:tcPr>
            <w:tcW w:w="2394" w:type="dxa"/>
          </w:tcPr>
          <w:p w:rsidR="00043900" w:rsidRDefault="00043900" w:rsidP="00292AEB">
            <w:pPr>
              <w:spacing w:before="120" w:after="120"/>
              <w:jc w:val="right"/>
              <w:rPr>
                <w:rFonts w:ascii="Arial" w:hAnsi="Arial" w:cs="Arial"/>
                <w:sz w:val="20"/>
                <w:szCs w:val="20"/>
              </w:rPr>
            </w:pPr>
            <w:r>
              <w:rPr>
                <w:rFonts w:ascii="Arial" w:hAnsi="Arial" w:cs="Arial"/>
                <w:sz w:val="20"/>
                <w:szCs w:val="20"/>
              </w:rPr>
              <w:t>4,669,599</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2</w:t>
            </w:r>
          </w:p>
        </w:tc>
        <w:tc>
          <w:tcPr>
            <w:tcW w:w="4536" w:type="dxa"/>
          </w:tcPr>
          <w:p w:rsidR="00043900" w:rsidRDefault="00292AEB" w:rsidP="00043900">
            <w:pPr>
              <w:spacing w:before="120" w:after="120"/>
              <w:rPr>
                <w:rFonts w:ascii="Arial" w:hAnsi="Arial" w:cs="Arial"/>
                <w:sz w:val="20"/>
                <w:szCs w:val="20"/>
              </w:rPr>
            </w:pPr>
            <w:r>
              <w:rPr>
                <w:rFonts w:ascii="Arial" w:hAnsi="Arial" w:cs="Arial"/>
                <w:sz w:val="20"/>
                <w:szCs w:val="20"/>
              </w:rPr>
              <w:t>Net revenue</w:t>
            </w:r>
          </w:p>
        </w:tc>
        <w:tc>
          <w:tcPr>
            <w:tcW w:w="1687" w:type="dxa"/>
            <w:vAlign w:val="center"/>
          </w:tcPr>
          <w:p w:rsidR="00043900" w:rsidRDefault="00043900" w:rsidP="00043900">
            <w:pPr>
              <w:spacing w:before="120" w:after="120"/>
              <w:jc w:val="right"/>
              <w:rPr>
                <w:rFonts w:ascii="Arial" w:hAnsi="Arial" w:cs="Arial"/>
                <w:sz w:val="20"/>
                <w:szCs w:val="20"/>
              </w:rPr>
            </w:pPr>
            <w:r>
              <w:rPr>
                <w:rFonts w:ascii="Arial" w:hAnsi="Arial" w:cs="Arial"/>
                <w:sz w:val="20"/>
                <w:szCs w:val="20"/>
              </w:rPr>
              <w:t>dong</w:t>
            </w:r>
          </w:p>
        </w:tc>
        <w:tc>
          <w:tcPr>
            <w:tcW w:w="2394" w:type="dxa"/>
          </w:tcPr>
          <w:p w:rsidR="00043900" w:rsidRDefault="00043900" w:rsidP="00292AEB">
            <w:pPr>
              <w:spacing w:before="120" w:after="120"/>
              <w:jc w:val="right"/>
              <w:rPr>
                <w:rFonts w:ascii="Arial" w:hAnsi="Arial" w:cs="Arial"/>
                <w:sz w:val="20"/>
                <w:szCs w:val="20"/>
              </w:rPr>
            </w:pPr>
            <w:r>
              <w:rPr>
                <w:rFonts w:ascii="Arial" w:hAnsi="Arial" w:cs="Arial"/>
                <w:sz w:val="20"/>
                <w:szCs w:val="20"/>
              </w:rPr>
              <w:t>677,873,455,856</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3</w:t>
            </w:r>
          </w:p>
        </w:tc>
        <w:tc>
          <w:tcPr>
            <w:tcW w:w="4536" w:type="dxa"/>
          </w:tcPr>
          <w:p w:rsidR="00043900" w:rsidRDefault="00292AEB" w:rsidP="00043900">
            <w:pPr>
              <w:spacing w:before="120" w:after="120"/>
              <w:rPr>
                <w:rFonts w:ascii="Arial" w:hAnsi="Arial" w:cs="Arial"/>
                <w:sz w:val="20"/>
                <w:szCs w:val="20"/>
              </w:rPr>
            </w:pPr>
            <w:r>
              <w:rPr>
                <w:rFonts w:ascii="Arial" w:hAnsi="Arial" w:cs="Arial"/>
                <w:sz w:val="20"/>
                <w:szCs w:val="20"/>
              </w:rPr>
              <w:t>Charter Capital</w:t>
            </w:r>
          </w:p>
        </w:tc>
        <w:tc>
          <w:tcPr>
            <w:tcW w:w="1687" w:type="dxa"/>
            <w:vAlign w:val="center"/>
          </w:tcPr>
          <w:p w:rsidR="00043900" w:rsidRDefault="00043900" w:rsidP="00043900">
            <w:pPr>
              <w:jc w:val="right"/>
            </w:pPr>
            <w:r w:rsidRPr="00355122">
              <w:rPr>
                <w:rFonts w:ascii="Arial" w:hAnsi="Arial" w:cs="Arial"/>
                <w:sz w:val="20"/>
                <w:szCs w:val="20"/>
              </w:rPr>
              <w:t>dong</w:t>
            </w:r>
          </w:p>
        </w:tc>
        <w:tc>
          <w:tcPr>
            <w:tcW w:w="2394" w:type="dxa"/>
          </w:tcPr>
          <w:p w:rsidR="00043900" w:rsidRDefault="00043900" w:rsidP="00292AEB">
            <w:pPr>
              <w:spacing w:before="120" w:after="120"/>
              <w:jc w:val="right"/>
              <w:rPr>
                <w:rFonts w:ascii="Arial" w:hAnsi="Arial" w:cs="Arial"/>
                <w:sz w:val="20"/>
                <w:szCs w:val="20"/>
              </w:rPr>
            </w:pPr>
            <w:r>
              <w:rPr>
                <w:rFonts w:ascii="Arial" w:hAnsi="Arial" w:cs="Arial"/>
                <w:sz w:val="20"/>
                <w:szCs w:val="20"/>
              </w:rPr>
              <w:t>99,000,000,000</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4</w:t>
            </w:r>
          </w:p>
        </w:tc>
        <w:tc>
          <w:tcPr>
            <w:tcW w:w="4536" w:type="dxa"/>
          </w:tcPr>
          <w:p w:rsidR="00043900" w:rsidRDefault="00292AEB" w:rsidP="00043900">
            <w:pPr>
              <w:spacing w:before="120" w:after="120"/>
              <w:rPr>
                <w:rFonts w:ascii="Arial" w:hAnsi="Arial" w:cs="Arial"/>
                <w:sz w:val="20"/>
                <w:szCs w:val="20"/>
              </w:rPr>
            </w:pPr>
            <w:r>
              <w:rPr>
                <w:rFonts w:ascii="Arial" w:hAnsi="Arial" w:cs="Arial"/>
                <w:sz w:val="20"/>
                <w:szCs w:val="20"/>
              </w:rPr>
              <w:t>Submit State budget</w:t>
            </w:r>
          </w:p>
        </w:tc>
        <w:tc>
          <w:tcPr>
            <w:tcW w:w="1687" w:type="dxa"/>
            <w:vAlign w:val="center"/>
          </w:tcPr>
          <w:p w:rsidR="00043900" w:rsidRDefault="00043900" w:rsidP="00043900">
            <w:pPr>
              <w:jc w:val="right"/>
            </w:pPr>
            <w:r w:rsidRPr="00355122">
              <w:rPr>
                <w:rFonts w:ascii="Arial" w:hAnsi="Arial" w:cs="Arial"/>
                <w:sz w:val="20"/>
                <w:szCs w:val="20"/>
              </w:rPr>
              <w:t>dong</w:t>
            </w:r>
          </w:p>
        </w:tc>
        <w:tc>
          <w:tcPr>
            <w:tcW w:w="2394" w:type="dxa"/>
          </w:tcPr>
          <w:p w:rsidR="00043900" w:rsidRDefault="00043900" w:rsidP="00292AEB">
            <w:pPr>
              <w:spacing w:before="120" w:after="120"/>
              <w:jc w:val="right"/>
              <w:rPr>
                <w:rFonts w:ascii="Arial" w:hAnsi="Arial" w:cs="Arial"/>
                <w:sz w:val="20"/>
                <w:szCs w:val="20"/>
              </w:rPr>
            </w:pPr>
            <w:r>
              <w:rPr>
                <w:rFonts w:ascii="Arial" w:hAnsi="Arial" w:cs="Arial"/>
                <w:sz w:val="20"/>
                <w:szCs w:val="20"/>
              </w:rPr>
              <w:t>30,747,256,074</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5</w:t>
            </w:r>
          </w:p>
        </w:tc>
        <w:tc>
          <w:tcPr>
            <w:tcW w:w="4536" w:type="dxa"/>
          </w:tcPr>
          <w:p w:rsidR="00043900" w:rsidRDefault="00292AEB" w:rsidP="00043900">
            <w:pPr>
              <w:spacing w:before="120" w:after="120"/>
              <w:rPr>
                <w:rFonts w:ascii="Arial" w:hAnsi="Arial" w:cs="Arial"/>
                <w:sz w:val="20"/>
                <w:szCs w:val="20"/>
              </w:rPr>
            </w:pPr>
            <w:r>
              <w:rPr>
                <w:rFonts w:ascii="Arial" w:hAnsi="Arial" w:cs="Arial"/>
                <w:sz w:val="20"/>
                <w:szCs w:val="20"/>
              </w:rPr>
              <w:t>Average income/person/month</w:t>
            </w:r>
          </w:p>
        </w:tc>
        <w:tc>
          <w:tcPr>
            <w:tcW w:w="1687" w:type="dxa"/>
            <w:vAlign w:val="center"/>
          </w:tcPr>
          <w:p w:rsidR="00043900" w:rsidRDefault="00043900" w:rsidP="00043900">
            <w:pPr>
              <w:jc w:val="right"/>
            </w:pPr>
            <w:r w:rsidRPr="00355122">
              <w:rPr>
                <w:rFonts w:ascii="Arial" w:hAnsi="Arial" w:cs="Arial"/>
                <w:sz w:val="20"/>
                <w:szCs w:val="20"/>
              </w:rPr>
              <w:t>dong</w:t>
            </w:r>
          </w:p>
        </w:tc>
        <w:tc>
          <w:tcPr>
            <w:tcW w:w="2394" w:type="dxa"/>
          </w:tcPr>
          <w:p w:rsidR="00043900" w:rsidRDefault="00043900" w:rsidP="00292AEB">
            <w:pPr>
              <w:spacing w:before="120" w:after="120"/>
              <w:jc w:val="right"/>
              <w:rPr>
                <w:rFonts w:ascii="Arial" w:hAnsi="Arial" w:cs="Arial"/>
                <w:sz w:val="20"/>
                <w:szCs w:val="20"/>
              </w:rPr>
            </w:pPr>
            <w:r>
              <w:rPr>
                <w:rFonts w:ascii="Arial" w:hAnsi="Arial" w:cs="Arial"/>
                <w:sz w:val="20"/>
                <w:szCs w:val="20"/>
              </w:rPr>
              <w:t>7,400,000</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6</w:t>
            </w:r>
          </w:p>
        </w:tc>
        <w:tc>
          <w:tcPr>
            <w:tcW w:w="4536" w:type="dxa"/>
          </w:tcPr>
          <w:p w:rsidR="00043900" w:rsidRDefault="00292AEB" w:rsidP="00043900">
            <w:pPr>
              <w:spacing w:before="120" w:after="120"/>
              <w:rPr>
                <w:rFonts w:ascii="Arial" w:hAnsi="Arial" w:cs="Arial"/>
                <w:sz w:val="20"/>
                <w:szCs w:val="20"/>
              </w:rPr>
            </w:pPr>
            <w:r w:rsidRPr="00292AEB">
              <w:rPr>
                <w:rFonts w:ascii="Arial" w:hAnsi="Arial" w:cs="Arial"/>
                <w:sz w:val="20"/>
                <w:szCs w:val="20"/>
              </w:rPr>
              <w:t>General and administrative expenses</w:t>
            </w:r>
          </w:p>
        </w:tc>
        <w:tc>
          <w:tcPr>
            <w:tcW w:w="1687" w:type="dxa"/>
            <w:vAlign w:val="center"/>
          </w:tcPr>
          <w:p w:rsidR="00043900" w:rsidRDefault="00043900" w:rsidP="00043900">
            <w:pPr>
              <w:jc w:val="right"/>
            </w:pPr>
            <w:r w:rsidRPr="00355122">
              <w:rPr>
                <w:rFonts w:ascii="Arial" w:hAnsi="Arial" w:cs="Arial"/>
                <w:sz w:val="20"/>
                <w:szCs w:val="20"/>
              </w:rPr>
              <w:t>dong</w:t>
            </w:r>
          </w:p>
        </w:tc>
        <w:tc>
          <w:tcPr>
            <w:tcW w:w="2394" w:type="dxa"/>
          </w:tcPr>
          <w:p w:rsidR="00043900" w:rsidRDefault="00043900" w:rsidP="00292AEB">
            <w:pPr>
              <w:spacing w:before="120" w:after="120"/>
              <w:jc w:val="right"/>
              <w:rPr>
                <w:rFonts w:ascii="Arial" w:hAnsi="Arial" w:cs="Arial"/>
                <w:sz w:val="20"/>
                <w:szCs w:val="20"/>
              </w:rPr>
            </w:pPr>
            <w:r>
              <w:rPr>
                <w:rFonts w:ascii="Arial" w:hAnsi="Arial" w:cs="Arial"/>
                <w:sz w:val="20"/>
                <w:szCs w:val="20"/>
              </w:rPr>
              <w:t>11,629,823,168</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7</w:t>
            </w:r>
          </w:p>
        </w:tc>
        <w:tc>
          <w:tcPr>
            <w:tcW w:w="4536" w:type="dxa"/>
          </w:tcPr>
          <w:p w:rsidR="00043900" w:rsidRDefault="00292AEB" w:rsidP="00043900">
            <w:pPr>
              <w:spacing w:before="120" w:after="120"/>
              <w:rPr>
                <w:rFonts w:ascii="Arial" w:hAnsi="Arial" w:cs="Arial"/>
                <w:sz w:val="20"/>
                <w:szCs w:val="20"/>
              </w:rPr>
            </w:pPr>
            <w:r w:rsidRPr="00292AEB">
              <w:rPr>
                <w:rFonts w:ascii="Arial" w:hAnsi="Arial" w:cs="Arial"/>
                <w:sz w:val="20"/>
                <w:szCs w:val="20"/>
              </w:rPr>
              <w:t>fixed asset costs at the beginning of term</w:t>
            </w:r>
          </w:p>
        </w:tc>
        <w:tc>
          <w:tcPr>
            <w:tcW w:w="1687" w:type="dxa"/>
            <w:vAlign w:val="center"/>
          </w:tcPr>
          <w:p w:rsidR="00043900" w:rsidRDefault="00043900" w:rsidP="00043900">
            <w:pPr>
              <w:jc w:val="right"/>
            </w:pPr>
            <w:r w:rsidRPr="00355122">
              <w:rPr>
                <w:rFonts w:ascii="Arial" w:hAnsi="Arial" w:cs="Arial"/>
                <w:sz w:val="20"/>
                <w:szCs w:val="20"/>
              </w:rPr>
              <w:t>dong</w:t>
            </w:r>
          </w:p>
        </w:tc>
        <w:tc>
          <w:tcPr>
            <w:tcW w:w="2394" w:type="dxa"/>
          </w:tcPr>
          <w:p w:rsidR="00043900" w:rsidRDefault="00292AEB" w:rsidP="00292AEB">
            <w:pPr>
              <w:spacing w:before="120" w:after="120"/>
              <w:jc w:val="right"/>
              <w:rPr>
                <w:rFonts w:ascii="Arial" w:hAnsi="Arial" w:cs="Arial"/>
                <w:sz w:val="20"/>
                <w:szCs w:val="20"/>
              </w:rPr>
            </w:pPr>
            <w:r>
              <w:rPr>
                <w:rFonts w:ascii="Arial" w:hAnsi="Arial" w:cs="Arial"/>
                <w:sz w:val="20"/>
                <w:szCs w:val="20"/>
              </w:rPr>
              <w:t>546,292,487,104</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8</w:t>
            </w:r>
          </w:p>
        </w:tc>
        <w:tc>
          <w:tcPr>
            <w:tcW w:w="4536" w:type="dxa"/>
          </w:tcPr>
          <w:p w:rsidR="00043900" w:rsidRDefault="00292AEB" w:rsidP="00292AEB">
            <w:pPr>
              <w:spacing w:before="120" w:after="120"/>
              <w:rPr>
                <w:rFonts w:ascii="Arial" w:hAnsi="Arial" w:cs="Arial"/>
                <w:sz w:val="20"/>
                <w:szCs w:val="20"/>
              </w:rPr>
            </w:pPr>
            <w:r w:rsidRPr="00292AEB">
              <w:rPr>
                <w:rFonts w:ascii="Arial" w:hAnsi="Arial" w:cs="Arial"/>
                <w:sz w:val="20"/>
                <w:szCs w:val="20"/>
              </w:rPr>
              <w:t>fixed asset costs at the end of term</w:t>
            </w:r>
          </w:p>
        </w:tc>
        <w:tc>
          <w:tcPr>
            <w:tcW w:w="1687" w:type="dxa"/>
            <w:vAlign w:val="center"/>
          </w:tcPr>
          <w:p w:rsidR="00043900" w:rsidRDefault="00043900" w:rsidP="00043900">
            <w:pPr>
              <w:jc w:val="right"/>
            </w:pPr>
            <w:r w:rsidRPr="00355122">
              <w:rPr>
                <w:rFonts w:ascii="Arial" w:hAnsi="Arial" w:cs="Arial"/>
                <w:sz w:val="20"/>
                <w:szCs w:val="20"/>
              </w:rPr>
              <w:t>dong</w:t>
            </w:r>
          </w:p>
        </w:tc>
        <w:tc>
          <w:tcPr>
            <w:tcW w:w="2394" w:type="dxa"/>
          </w:tcPr>
          <w:p w:rsidR="00043900" w:rsidRDefault="00292AEB" w:rsidP="00292AEB">
            <w:pPr>
              <w:spacing w:before="120" w:after="120"/>
              <w:jc w:val="right"/>
              <w:rPr>
                <w:rFonts w:ascii="Arial" w:hAnsi="Arial" w:cs="Arial"/>
                <w:sz w:val="20"/>
                <w:szCs w:val="20"/>
              </w:rPr>
            </w:pPr>
            <w:r>
              <w:rPr>
                <w:rFonts w:ascii="Arial" w:hAnsi="Arial" w:cs="Arial"/>
                <w:sz w:val="20"/>
                <w:szCs w:val="20"/>
              </w:rPr>
              <w:t>549,573,095,829</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lastRenderedPageBreak/>
              <w:t>9</w:t>
            </w:r>
          </w:p>
        </w:tc>
        <w:tc>
          <w:tcPr>
            <w:tcW w:w="4536" w:type="dxa"/>
          </w:tcPr>
          <w:p w:rsidR="00043900" w:rsidRDefault="00292AEB" w:rsidP="00043900">
            <w:pPr>
              <w:spacing w:before="120" w:after="120"/>
              <w:rPr>
                <w:rFonts w:ascii="Arial" w:hAnsi="Arial" w:cs="Arial"/>
                <w:sz w:val="20"/>
                <w:szCs w:val="20"/>
              </w:rPr>
            </w:pPr>
            <w:r w:rsidRPr="00292AEB">
              <w:rPr>
                <w:rFonts w:ascii="Arial" w:hAnsi="Arial" w:cs="Arial"/>
                <w:sz w:val="20"/>
                <w:szCs w:val="20"/>
              </w:rPr>
              <w:t>Fixed asset depreciation</w:t>
            </w:r>
          </w:p>
        </w:tc>
        <w:tc>
          <w:tcPr>
            <w:tcW w:w="1687" w:type="dxa"/>
            <w:vAlign w:val="center"/>
          </w:tcPr>
          <w:p w:rsidR="00043900" w:rsidRDefault="00043900" w:rsidP="00043900">
            <w:pPr>
              <w:jc w:val="right"/>
            </w:pPr>
            <w:r w:rsidRPr="005E46B5">
              <w:rPr>
                <w:rFonts w:ascii="Arial" w:hAnsi="Arial" w:cs="Arial"/>
                <w:sz w:val="20"/>
                <w:szCs w:val="20"/>
              </w:rPr>
              <w:t>dong</w:t>
            </w:r>
          </w:p>
        </w:tc>
        <w:tc>
          <w:tcPr>
            <w:tcW w:w="2394" w:type="dxa"/>
          </w:tcPr>
          <w:p w:rsidR="00043900" w:rsidRDefault="00292AEB" w:rsidP="00292AEB">
            <w:pPr>
              <w:spacing w:before="120" w:after="120"/>
              <w:jc w:val="right"/>
              <w:rPr>
                <w:rFonts w:ascii="Arial" w:hAnsi="Arial" w:cs="Arial"/>
                <w:sz w:val="20"/>
                <w:szCs w:val="20"/>
              </w:rPr>
            </w:pPr>
            <w:r>
              <w:rPr>
                <w:rFonts w:ascii="Arial" w:hAnsi="Arial" w:cs="Arial"/>
                <w:sz w:val="20"/>
                <w:szCs w:val="20"/>
              </w:rPr>
              <w:t>41,384,063,553</w:t>
            </w:r>
          </w:p>
        </w:tc>
      </w:tr>
      <w:tr w:rsidR="00043900" w:rsidTr="00043900">
        <w:tc>
          <w:tcPr>
            <w:tcW w:w="959" w:type="dxa"/>
          </w:tcPr>
          <w:p w:rsidR="00043900" w:rsidRDefault="00292AEB" w:rsidP="00043900">
            <w:pPr>
              <w:spacing w:before="120" w:after="120"/>
              <w:rPr>
                <w:rFonts w:ascii="Arial" w:hAnsi="Arial" w:cs="Arial"/>
                <w:sz w:val="20"/>
                <w:szCs w:val="20"/>
              </w:rPr>
            </w:pPr>
            <w:r>
              <w:rPr>
                <w:rFonts w:ascii="Arial" w:hAnsi="Arial" w:cs="Arial"/>
                <w:sz w:val="20"/>
                <w:szCs w:val="20"/>
              </w:rPr>
              <w:t>10</w:t>
            </w:r>
          </w:p>
        </w:tc>
        <w:tc>
          <w:tcPr>
            <w:tcW w:w="4536" w:type="dxa"/>
          </w:tcPr>
          <w:p w:rsidR="00043900" w:rsidRDefault="00292AEB" w:rsidP="00043900">
            <w:pPr>
              <w:spacing w:before="120" w:after="120"/>
              <w:rPr>
                <w:rFonts w:ascii="Arial" w:hAnsi="Arial" w:cs="Arial"/>
                <w:sz w:val="20"/>
                <w:szCs w:val="20"/>
              </w:rPr>
            </w:pPr>
            <w:r>
              <w:rPr>
                <w:rFonts w:ascii="Arial" w:hAnsi="Arial" w:cs="Arial"/>
                <w:sz w:val="20"/>
                <w:szCs w:val="20"/>
              </w:rPr>
              <w:t>Profit before taxes</w:t>
            </w:r>
          </w:p>
        </w:tc>
        <w:tc>
          <w:tcPr>
            <w:tcW w:w="1687" w:type="dxa"/>
            <w:vAlign w:val="center"/>
          </w:tcPr>
          <w:p w:rsidR="00043900" w:rsidRDefault="00043900" w:rsidP="00043900">
            <w:pPr>
              <w:jc w:val="right"/>
            </w:pPr>
            <w:r w:rsidRPr="005E46B5">
              <w:rPr>
                <w:rFonts w:ascii="Arial" w:hAnsi="Arial" w:cs="Arial"/>
                <w:sz w:val="20"/>
                <w:szCs w:val="20"/>
              </w:rPr>
              <w:t>dong</w:t>
            </w:r>
          </w:p>
        </w:tc>
        <w:tc>
          <w:tcPr>
            <w:tcW w:w="2394" w:type="dxa"/>
          </w:tcPr>
          <w:p w:rsidR="00043900" w:rsidRDefault="00292AEB" w:rsidP="00292AEB">
            <w:pPr>
              <w:spacing w:before="120" w:after="120"/>
              <w:jc w:val="right"/>
              <w:rPr>
                <w:rFonts w:ascii="Arial" w:hAnsi="Arial" w:cs="Arial"/>
                <w:sz w:val="20"/>
                <w:szCs w:val="20"/>
              </w:rPr>
            </w:pPr>
            <w:r>
              <w:rPr>
                <w:rFonts w:ascii="Arial" w:hAnsi="Arial" w:cs="Arial"/>
                <w:sz w:val="20"/>
                <w:szCs w:val="20"/>
              </w:rPr>
              <w:t>35,555,352,296</w:t>
            </w:r>
          </w:p>
        </w:tc>
      </w:tr>
    </w:tbl>
    <w:p w:rsidR="00043900" w:rsidRDefault="00292AEB" w:rsidP="00A13921">
      <w:pPr>
        <w:spacing w:line="360" w:lineRule="auto"/>
        <w:ind w:firstLine="709"/>
        <w:rPr>
          <w:rFonts w:ascii="Arial" w:hAnsi="Arial" w:cs="Arial"/>
          <w:sz w:val="20"/>
          <w:szCs w:val="20"/>
        </w:rPr>
      </w:pPr>
      <w:r>
        <w:rPr>
          <w:rFonts w:ascii="Arial" w:hAnsi="Arial" w:cs="Arial"/>
          <w:b/>
          <w:sz w:val="20"/>
          <w:szCs w:val="20"/>
        </w:rPr>
        <w:t>Article 4: Approve compensation of BOD, SB 2014</w:t>
      </w:r>
    </w:p>
    <w:p w:rsidR="00292AEB" w:rsidRDefault="00292AEB" w:rsidP="00A13921">
      <w:pPr>
        <w:pStyle w:val="ListParagraph"/>
        <w:numPr>
          <w:ilvl w:val="0"/>
          <w:numId w:val="4"/>
        </w:numPr>
        <w:spacing w:line="360" w:lineRule="auto"/>
        <w:contextualSpacing w:val="0"/>
        <w:rPr>
          <w:rFonts w:ascii="Arial" w:hAnsi="Arial" w:cs="Arial"/>
          <w:sz w:val="20"/>
          <w:szCs w:val="20"/>
        </w:rPr>
      </w:pPr>
      <w:r>
        <w:rPr>
          <w:rFonts w:ascii="Arial" w:hAnsi="Arial" w:cs="Arial"/>
          <w:sz w:val="20"/>
          <w:szCs w:val="20"/>
        </w:rPr>
        <w:t>Compensation of BOD: 216 million dong, including</w:t>
      </w:r>
    </w:p>
    <w:p w:rsidR="00292AEB" w:rsidRDefault="00292AEB" w:rsidP="00A13921">
      <w:pPr>
        <w:spacing w:line="360" w:lineRule="auto"/>
        <w:ind w:firstLine="709"/>
        <w:rPr>
          <w:rFonts w:ascii="Arial" w:hAnsi="Arial" w:cs="Arial"/>
          <w:sz w:val="20"/>
          <w:szCs w:val="20"/>
        </w:rPr>
      </w:pPr>
      <w:r>
        <w:rPr>
          <w:rFonts w:ascii="Arial" w:hAnsi="Arial" w:cs="Arial"/>
          <w:sz w:val="20"/>
          <w:szCs w:val="20"/>
        </w:rPr>
        <w:t>+ Indirectly managing member: 132 million dong, extracted from profit after taxes</w:t>
      </w:r>
    </w:p>
    <w:p w:rsidR="00292AEB" w:rsidRDefault="00292AEB" w:rsidP="00A13921">
      <w:pPr>
        <w:spacing w:line="360" w:lineRule="auto"/>
        <w:ind w:firstLine="709"/>
        <w:rPr>
          <w:rFonts w:ascii="Arial" w:hAnsi="Arial" w:cs="Arial"/>
          <w:sz w:val="20"/>
          <w:szCs w:val="20"/>
        </w:rPr>
      </w:pPr>
      <w:r>
        <w:rPr>
          <w:rFonts w:ascii="Arial" w:hAnsi="Arial" w:cs="Arial"/>
          <w:sz w:val="20"/>
          <w:szCs w:val="20"/>
        </w:rPr>
        <w:t xml:space="preserve">+ Directly managing member: 84 million dong, accounted to </w:t>
      </w:r>
      <w:r w:rsidRPr="00292AEB">
        <w:rPr>
          <w:rFonts w:ascii="Arial" w:hAnsi="Arial" w:cs="Arial"/>
          <w:sz w:val="20"/>
          <w:szCs w:val="20"/>
        </w:rPr>
        <w:t>General and administrative expenses</w:t>
      </w:r>
      <w:r>
        <w:rPr>
          <w:rFonts w:ascii="Arial" w:hAnsi="Arial" w:cs="Arial"/>
          <w:sz w:val="20"/>
          <w:szCs w:val="20"/>
        </w:rPr>
        <w:t xml:space="preserve"> 2014</w:t>
      </w:r>
    </w:p>
    <w:p w:rsidR="00292AEB" w:rsidRDefault="00292AEB" w:rsidP="00A13921">
      <w:pPr>
        <w:pStyle w:val="ListParagraph"/>
        <w:numPr>
          <w:ilvl w:val="0"/>
          <w:numId w:val="4"/>
        </w:numPr>
        <w:spacing w:line="360" w:lineRule="auto"/>
        <w:contextualSpacing w:val="0"/>
        <w:rPr>
          <w:rFonts w:ascii="Arial" w:hAnsi="Arial" w:cs="Arial"/>
          <w:sz w:val="20"/>
          <w:szCs w:val="20"/>
        </w:rPr>
      </w:pPr>
      <w:r>
        <w:rPr>
          <w:rFonts w:ascii="Arial" w:hAnsi="Arial" w:cs="Arial"/>
          <w:sz w:val="20"/>
          <w:szCs w:val="20"/>
        </w:rPr>
        <w:t>Compensation of SB: 76.5 million dong</w:t>
      </w:r>
    </w:p>
    <w:p w:rsidR="00292AEB" w:rsidRDefault="00292AEB" w:rsidP="00A13921">
      <w:pPr>
        <w:spacing w:line="360" w:lineRule="auto"/>
        <w:ind w:firstLine="709"/>
        <w:rPr>
          <w:rFonts w:ascii="Arial" w:hAnsi="Arial" w:cs="Arial"/>
          <w:b/>
          <w:sz w:val="20"/>
          <w:szCs w:val="20"/>
        </w:rPr>
      </w:pPr>
      <w:r>
        <w:rPr>
          <w:rFonts w:ascii="Arial" w:hAnsi="Arial" w:cs="Arial"/>
          <w:b/>
          <w:sz w:val="20"/>
          <w:szCs w:val="20"/>
        </w:rPr>
        <w:t>Article 5: Approve</w:t>
      </w:r>
      <w:r w:rsidR="00BF6218">
        <w:rPr>
          <w:rFonts w:ascii="Arial" w:hAnsi="Arial" w:cs="Arial"/>
          <w:b/>
          <w:sz w:val="20"/>
          <w:szCs w:val="20"/>
        </w:rPr>
        <w:t xml:space="preserve"> business production plan, investment plan and issuing measure to increase charter capital 2015</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5.1. Targets of business production plan:</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 xml:space="preserve">- Profit before taxes: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46 billion dong</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 xml:space="preserve">- Average income: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7.8 million/person/month</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 xml:space="preserve">- Customer’s receivable until 31/12/2015: </w:t>
      </w:r>
      <w:r>
        <w:rPr>
          <w:rFonts w:ascii="Arial" w:hAnsi="Arial" w:cs="Arial"/>
          <w:sz w:val="20"/>
          <w:szCs w:val="20"/>
        </w:rPr>
        <w:tab/>
        <w:t>35 billion dong</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 xml:space="preserve">- </w:t>
      </w:r>
      <w:r w:rsidRPr="00292AEB">
        <w:rPr>
          <w:rFonts w:ascii="Arial" w:hAnsi="Arial" w:cs="Arial"/>
          <w:sz w:val="20"/>
          <w:szCs w:val="20"/>
        </w:rPr>
        <w:t>Fixed asset depreciation</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41.9 billion dong</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5.2. Annual investment and repairing fixed assets 2015</w:t>
      </w:r>
    </w:p>
    <w:p w:rsidR="00BF6218" w:rsidRPr="00A13921" w:rsidRDefault="00BF6218" w:rsidP="00A13921">
      <w:pPr>
        <w:spacing w:line="360" w:lineRule="auto"/>
        <w:ind w:firstLine="709"/>
        <w:rPr>
          <w:rFonts w:ascii="Arial" w:hAnsi="Arial" w:cs="Arial"/>
          <w:i/>
          <w:sz w:val="20"/>
          <w:szCs w:val="20"/>
        </w:rPr>
      </w:pPr>
      <w:r w:rsidRPr="00A13921">
        <w:rPr>
          <w:rFonts w:ascii="Arial" w:hAnsi="Arial" w:cs="Arial"/>
          <w:i/>
          <w:sz w:val="20"/>
          <w:szCs w:val="20"/>
        </w:rPr>
        <w:t>5.</w:t>
      </w:r>
      <w:r w:rsidR="0028681A" w:rsidRPr="00A13921">
        <w:rPr>
          <w:rFonts w:ascii="Arial" w:hAnsi="Arial" w:cs="Arial"/>
          <w:i/>
          <w:sz w:val="20"/>
          <w:szCs w:val="20"/>
        </w:rPr>
        <w:t>2</w:t>
      </w:r>
      <w:r w:rsidRPr="00A13921">
        <w:rPr>
          <w:rFonts w:ascii="Arial" w:hAnsi="Arial" w:cs="Arial"/>
          <w:i/>
          <w:sz w:val="20"/>
          <w:szCs w:val="20"/>
        </w:rPr>
        <w:t>.</w:t>
      </w:r>
      <w:r w:rsidR="0028681A" w:rsidRPr="00A13921">
        <w:rPr>
          <w:rFonts w:ascii="Arial" w:hAnsi="Arial" w:cs="Arial"/>
          <w:i/>
          <w:sz w:val="20"/>
          <w:szCs w:val="20"/>
        </w:rPr>
        <w:t>1.</w:t>
      </w:r>
      <w:r w:rsidRPr="00A13921">
        <w:rPr>
          <w:rFonts w:ascii="Arial" w:hAnsi="Arial" w:cs="Arial"/>
          <w:i/>
          <w:sz w:val="20"/>
          <w:szCs w:val="20"/>
        </w:rPr>
        <w:t xml:space="preserve"> Investment activity:</w:t>
      </w:r>
    </w:p>
    <w:p w:rsidR="00BF6218" w:rsidRDefault="00BF6218" w:rsidP="00A13921">
      <w:pPr>
        <w:spacing w:line="360" w:lineRule="auto"/>
        <w:ind w:firstLine="709"/>
        <w:rPr>
          <w:rFonts w:ascii="Arial" w:hAnsi="Arial" w:cs="Arial"/>
          <w:sz w:val="20"/>
          <w:szCs w:val="20"/>
        </w:rPr>
      </w:pPr>
      <w:r>
        <w:rPr>
          <w:rFonts w:ascii="Arial" w:hAnsi="Arial" w:cs="Arial"/>
          <w:sz w:val="20"/>
          <w:szCs w:val="20"/>
        </w:rPr>
        <w:t xml:space="preserve">- </w:t>
      </w:r>
      <w:r w:rsidRPr="000D1D33">
        <w:rPr>
          <w:rFonts w:ascii="Arial" w:hAnsi="Arial" w:cs="Arial"/>
          <w:i/>
          <w:sz w:val="20"/>
          <w:szCs w:val="20"/>
        </w:rPr>
        <w:t xml:space="preserve">At </w:t>
      </w:r>
      <w:proofErr w:type="spellStart"/>
      <w:r w:rsidRPr="000D1D33">
        <w:rPr>
          <w:rFonts w:ascii="Arial" w:hAnsi="Arial" w:cs="Arial"/>
          <w:i/>
          <w:sz w:val="20"/>
          <w:szCs w:val="20"/>
        </w:rPr>
        <w:t>Tien</w:t>
      </w:r>
      <w:proofErr w:type="spellEnd"/>
      <w:r w:rsidRPr="000D1D33">
        <w:rPr>
          <w:rFonts w:ascii="Arial" w:hAnsi="Arial" w:cs="Arial"/>
          <w:i/>
          <w:sz w:val="20"/>
          <w:szCs w:val="20"/>
        </w:rPr>
        <w:t xml:space="preserve"> Son </w:t>
      </w:r>
      <w:proofErr w:type="spellStart"/>
      <w:r w:rsidRPr="000D1D33">
        <w:rPr>
          <w:rFonts w:ascii="Arial" w:hAnsi="Arial" w:cs="Arial"/>
          <w:i/>
          <w:sz w:val="20"/>
          <w:szCs w:val="20"/>
        </w:rPr>
        <w:t>Viglacera</w:t>
      </w:r>
      <w:proofErr w:type="spellEnd"/>
      <w:r w:rsidRPr="000D1D33">
        <w:rPr>
          <w:rFonts w:ascii="Arial" w:hAnsi="Arial" w:cs="Arial"/>
          <w:i/>
          <w:sz w:val="20"/>
          <w:szCs w:val="20"/>
        </w:rPr>
        <w:t xml:space="preserve"> plant</w:t>
      </w:r>
      <w:r>
        <w:rPr>
          <w:rFonts w:ascii="Arial" w:hAnsi="Arial" w:cs="Arial"/>
          <w:sz w:val="20"/>
          <w:szCs w:val="20"/>
        </w:rPr>
        <w:t>:</w:t>
      </w:r>
    </w:p>
    <w:p w:rsidR="00BF6218" w:rsidRDefault="00124536" w:rsidP="00A13921">
      <w:pPr>
        <w:spacing w:line="360" w:lineRule="auto"/>
        <w:ind w:firstLine="709"/>
        <w:rPr>
          <w:rFonts w:ascii="Arial" w:hAnsi="Arial" w:cs="Arial"/>
          <w:sz w:val="20"/>
          <w:szCs w:val="20"/>
        </w:rPr>
      </w:pPr>
      <w:r>
        <w:rPr>
          <w:rFonts w:ascii="Arial" w:hAnsi="Arial" w:cs="Arial"/>
          <w:sz w:val="20"/>
          <w:szCs w:val="20"/>
        </w:rPr>
        <w:tab/>
      </w:r>
      <w:r w:rsidR="00BF6218">
        <w:rPr>
          <w:rFonts w:ascii="Arial" w:hAnsi="Arial" w:cs="Arial"/>
          <w:sz w:val="20"/>
          <w:szCs w:val="20"/>
        </w:rPr>
        <w:t>+ Unloading kilns machine</w:t>
      </w:r>
    </w:p>
    <w:p w:rsidR="00BF6218" w:rsidRDefault="00124536" w:rsidP="00A13921">
      <w:pPr>
        <w:spacing w:line="360" w:lineRule="auto"/>
        <w:ind w:firstLine="709"/>
        <w:rPr>
          <w:rFonts w:ascii="Arial" w:hAnsi="Arial" w:cs="Arial"/>
          <w:sz w:val="20"/>
          <w:szCs w:val="20"/>
        </w:rPr>
      </w:pPr>
      <w:r>
        <w:rPr>
          <w:rFonts w:ascii="Arial" w:hAnsi="Arial" w:cs="Arial"/>
          <w:sz w:val="20"/>
          <w:szCs w:val="20"/>
        </w:rPr>
        <w:tab/>
      </w:r>
      <w:r w:rsidR="00BF6218">
        <w:rPr>
          <w:rFonts w:ascii="Arial" w:hAnsi="Arial" w:cs="Arial"/>
          <w:sz w:val="20"/>
          <w:szCs w:val="20"/>
        </w:rPr>
        <w:t>+ Automatic canning machine</w:t>
      </w:r>
    </w:p>
    <w:p w:rsidR="00BF6218" w:rsidRDefault="00124536" w:rsidP="00A13921">
      <w:pPr>
        <w:spacing w:line="360" w:lineRule="auto"/>
        <w:ind w:firstLine="709"/>
        <w:rPr>
          <w:rFonts w:ascii="Arial" w:hAnsi="Arial" w:cs="Arial"/>
          <w:sz w:val="20"/>
          <w:szCs w:val="20"/>
        </w:rPr>
      </w:pPr>
      <w:r>
        <w:rPr>
          <w:rFonts w:ascii="Arial" w:hAnsi="Arial" w:cs="Arial"/>
          <w:sz w:val="20"/>
          <w:szCs w:val="20"/>
        </w:rPr>
        <w:tab/>
      </w:r>
      <w:r w:rsidR="00BF6218">
        <w:rPr>
          <w:rFonts w:ascii="Arial" w:hAnsi="Arial" w:cs="Arial"/>
          <w:sz w:val="20"/>
          <w:szCs w:val="20"/>
        </w:rPr>
        <w:t>+ 16 drill polishing machine</w:t>
      </w:r>
    </w:p>
    <w:p w:rsidR="00BF6218" w:rsidRDefault="00124536" w:rsidP="00A13921">
      <w:pPr>
        <w:spacing w:line="360" w:lineRule="auto"/>
        <w:ind w:firstLine="709"/>
        <w:rPr>
          <w:rFonts w:ascii="Arial" w:hAnsi="Arial" w:cs="Arial"/>
          <w:sz w:val="20"/>
          <w:szCs w:val="20"/>
        </w:rPr>
      </w:pPr>
      <w:r>
        <w:rPr>
          <w:rFonts w:ascii="Arial" w:hAnsi="Arial" w:cs="Arial"/>
          <w:sz w:val="20"/>
          <w:szCs w:val="20"/>
        </w:rPr>
        <w:tab/>
      </w:r>
      <w:r w:rsidR="00BF6218">
        <w:rPr>
          <w:rFonts w:ascii="Arial" w:hAnsi="Arial" w:cs="Arial"/>
          <w:sz w:val="20"/>
          <w:szCs w:val="20"/>
        </w:rPr>
        <w:t>+ Hiring land and buying assets to use as Material warehouse</w:t>
      </w:r>
    </w:p>
    <w:p w:rsidR="000D1D33" w:rsidRDefault="000D1D33" w:rsidP="00A13921">
      <w:pPr>
        <w:spacing w:line="360" w:lineRule="auto"/>
        <w:ind w:firstLine="709"/>
        <w:rPr>
          <w:rFonts w:ascii="Arial" w:hAnsi="Arial" w:cs="Arial"/>
          <w:sz w:val="20"/>
          <w:szCs w:val="20"/>
        </w:rPr>
      </w:pPr>
      <w:r>
        <w:rPr>
          <w:rFonts w:ascii="Arial" w:hAnsi="Arial" w:cs="Arial"/>
          <w:sz w:val="20"/>
          <w:szCs w:val="20"/>
        </w:rPr>
        <w:t xml:space="preserve">- </w:t>
      </w:r>
      <w:r w:rsidRPr="00A13921">
        <w:rPr>
          <w:rFonts w:ascii="Arial" w:hAnsi="Arial" w:cs="Arial"/>
          <w:i/>
          <w:sz w:val="20"/>
          <w:szCs w:val="20"/>
        </w:rPr>
        <w:t xml:space="preserve">At Thai </w:t>
      </w:r>
      <w:proofErr w:type="spellStart"/>
      <w:r w:rsidRPr="00A13921">
        <w:rPr>
          <w:rFonts w:ascii="Arial" w:hAnsi="Arial" w:cs="Arial"/>
          <w:i/>
          <w:sz w:val="20"/>
          <w:szCs w:val="20"/>
        </w:rPr>
        <w:t>Binh</w:t>
      </w:r>
      <w:proofErr w:type="spellEnd"/>
      <w:r w:rsidRPr="00A13921">
        <w:rPr>
          <w:rFonts w:ascii="Arial" w:hAnsi="Arial" w:cs="Arial"/>
          <w:i/>
          <w:sz w:val="20"/>
          <w:szCs w:val="20"/>
        </w:rPr>
        <w:t xml:space="preserve"> </w:t>
      </w:r>
      <w:proofErr w:type="spellStart"/>
      <w:r w:rsidRPr="00A13921">
        <w:rPr>
          <w:rFonts w:ascii="Arial" w:hAnsi="Arial" w:cs="Arial"/>
          <w:i/>
          <w:sz w:val="20"/>
          <w:szCs w:val="20"/>
        </w:rPr>
        <w:t>Viglacera</w:t>
      </w:r>
      <w:proofErr w:type="spellEnd"/>
      <w:r w:rsidRPr="00A13921">
        <w:rPr>
          <w:rFonts w:ascii="Arial" w:hAnsi="Arial" w:cs="Arial"/>
          <w:i/>
          <w:sz w:val="20"/>
          <w:szCs w:val="20"/>
        </w:rPr>
        <w:t xml:space="preserve"> plant</w:t>
      </w:r>
      <w:r w:rsidR="001F24A8">
        <w:rPr>
          <w:rFonts w:ascii="Arial" w:hAnsi="Arial" w:cs="Arial"/>
          <w:sz w:val="20"/>
          <w:szCs w:val="20"/>
        </w:rPr>
        <w:t>:</w:t>
      </w:r>
    </w:p>
    <w:p w:rsidR="001F24A8" w:rsidRDefault="00124536" w:rsidP="00A13921">
      <w:pPr>
        <w:spacing w:line="360" w:lineRule="auto"/>
        <w:ind w:firstLine="709"/>
        <w:rPr>
          <w:rFonts w:ascii="Arial" w:hAnsi="Arial" w:cs="Arial"/>
          <w:sz w:val="20"/>
          <w:szCs w:val="20"/>
        </w:rPr>
      </w:pPr>
      <w:r>
        <w:rPr>
          <w:rFonts w:ascii="Arial" w:hAnsi="Arial" w:cs="Arial"/>
          <w:sz w:val="20"/>
          <w:szCs w:val="20"/>
        </w:rPr>
        <w:tab/>
      </w:r>
      <w:r w:rsidR="001F24A8">
        <w:rPr>
          <w:rFonts w:ascii="Arial" w:hAnsi="Arial" w:cs="Arial"/>
          <w:sz w:val="20"/>
          <w:szCs w:val="20"/>
        </w:rPr>
        <w:t xml:space="preserve">+ </w:t>
      </w:r>
      <w:r>
        <w:rPr>
          <w:rFonts w:ascii="Arial" w:hAnsi="Arial" w:cs="Arial"/>
          <w:sz w:val="20"/>
          <w:szCs w:val="20"/>
        </w:rPr>
        <w:t>Implement the project of production expansion investment phase 2 – production line of grinding granite ceramic tile, with capacity of 2 million m</w:t>
      </w:r>
      <w:r w:rsidRPr="00124536">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xml:space="preserve">/ year at Thai </w:t>
      </w:r>
      <w:proofErr w:type="spellStart"/>
      <w:r>
        <w:rPr>
          <w:rFonts w:ascii="Arial" w:hAnsi="Arial" w:cs="Arial"/>
          <w:sz w:val="20"/>
          <w:szCs w:val="20"/>
        </w:rPr>
        <w:t>Binh</w:t>
      </w:r>
      <w:proofErr w:type="spellEnd"/>
      <w:r>
        <w:rPr>
          <w:rFonts w:ascii="Arial" w:hAnsi="Arial" w:cs="Arial"/>
          <w:sz w:val="20"/>
          <w:szCs w:val="20"/>
        </w:rPr>
        <w:t xml:space="preserve"> </w:t>
      </w:r>
      <w:proofErr w:type="spellStart"/>
      <w:r>
        <w:rPr>
          <w:rFonts w:ascii="Arial" w:hAnsi="Arial" w:cs="Arial"/>
          <w:sz w:val="20"/>
          <w:szCs w:val="20"/>
        </w:rPr>
        <w:t>Viglacera</w:t>
      </w:r>
      <w:proofErr w:type="spellEnd"/>
      <w:r>
        <w:rPr>
          <w:rFonts w:ascii="Arial" w:hAnsi="Arial" w:cs="Arial"/>
          <w:sz w:val="20"/>
          <w:szCs w:val="20"/>
        </w:rPr>
        <w:t xml:space="preserve"> Plant, will be put into use in September/2015.</w:t>
      </w:r>
    </w:p>
    <w:p w:rsidR="00124536" w:rsidRPr="00124536" w:rsidRDefault="00124536" w:rsidP="00A13921">
      <w:pPr>
        <w:spacing w:line="360" w:lineRule="auto"/>
        <w:ind w:firstLine="709"/>
        <w:rPr>
          <w:rFonts w:ascii="Arial" w:hAnsi="Arial" w:cs="Arial"/>
          <w:sz w:val="20"/>
          <w:szCs w:val="20"/>
        </w:rPr>
      </w:pPr>
      <w:r>
        <w:rPr>
          <w:rFonts w:ascii="Arial" w:hAnsi="Arial" w:cs="Arial"/>
          <w:sz w:val="20"/>
          <w:szCs w:val="20"/>
        </w:rPr>
        <w:t>+ Automatic unloading machine</w:t>
      </w:r>
    </w:p>
    <w:p w:rsidR="001F24A8" w:rsidRDefault="00124536" w:rsidP="00A13921">
      <w:pPr>
        <w:spacing w:line="360" w:lineRule="auto"/>
        <w:ind w:firstLine="709"/>
        <w:rPr>
          <w:rFonts w:ascii="Arial" w:hAnsi="Arial" w:cs="Arial"/>
          <w:sz w:val="20"/>
          <w:szCs w:val="20"/>
        </w:rPr>
      </w:pPr>
      <w:r>
        <w:rPr>
          <w:rFonts w:ascii="Arial" w:hAnsi="Arial" w:cs="Arial"/>
          <w:sz w:val="20"/>
          <w:szCs w:val="20"/>
        </w:rPr>
        <w:t>+ Buy land to build houses for employees</w:t>
      </w:r>
    </w:p>
    <w:p w:rsidR="00124536" w:rsidRDefault="00124536" w:rsidP="00A13921">
      <w:pPr>
        <w:spacing w:line="360" w:lineRule="auto"/>
        <w:ind w:firstLine="709"/>
        <w:rPr>
          <w:rFonts w:ascii="Arial" w:hAnsi="Arial" w:cs="Arial"/>
          <w:sz w:val="20"/>
          <w:szCs w:val="20"/>
        </w:rPr>
      </w:pPr>
      <w:r>
        <w:rPr>
          <w:rFonts w:ascii="Arial" w:hAnsi="Arial" w:cs="Arial"/>
          <w:sz w:val="20"/>
          <w:szCs w:val="20"/>
        </w:rPr>
        <w:t>+ Change from</w:t>
      </w:r>
      <w:r w:rsidR="0028681A">
        <w:rPr>
          <w:rFonts w:ascii="Arial" w:hAnsi="Arial" w:cs="Arial"/>
          <w:sz w:val="20"/>
          <w:szCs w:val="20"/>
        </w:rPr>
        <w:t xml:space="preserve"> gasify coal to NG gas.</w:t>
      </w:r>
    </w:p>
    <w:p w:rsidR="0028681A" w:rsidRPr="00A13921" w:rsidRDefault="0028681A" w:rsidP="00A13921">
      <w:pPr>
        <w:spacing w:line="360" w:lineRule="auto"/>
        <w:ind w:firstLine="709"/>
        <w:rPr>
          <w:rFonts w:ascii="Arial" w:hAnsi="Arial" w:cs="Arial"/>
          <w:i/>
          <w:sz w:val="20"/>
          <w:szCs w:val="20"/>
        </w:rPr>
      </w:pPr>
      <w:r w:rsidRPr="00A13921">
        <w:rPr>
          <w:rFonts w:ascii="Arial" w:hAnsi="Arial" w:cs="Arial"/>
          <w:i/>
          <w:sz w:val="20"/>
          <w:szCs w:val="20"/>
        </w:rPr>
        <w:lastRenderedPageBreak/>
        <w:t>5.2.2. Annual maintaining, repairing activities:</w:t>
      </w:r>
    </w:p>
    <w:p w:rsidR="0028681A" w:rsidRDefault="0028681A" w:rsidP="00A13921">
      <w:pPr>
        <w:spacing w:line="360" w:lineRule="auto"/>
        <w:ind w:firstLine="709"/>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At </w:t>
      </w:r>
      <w:proofErr w:type="spellStart"/>
      <w:r>
        <w:rPr>
          <w:rFonts w:ascii="Arial" w:hAnsi="Arial" w:cs="Arial"/>
          <w:i/>
          <w:sz w:val="20"/>
          <w:szCs w:val="20"/>
        </w:rPr>
        <w:t>Tien</w:t>
      </w:r>
      <w:proofErr w:type="spellEnd"/>
      <w:r>
        <w:rPr>
          <w:rFonts w:ascii="Arial" w:hAnsi="Arial" w:cs="Arial"/>
          <w:i/>
          <w:sz w:val="20"/>
          <w:szCs w:val="20"/>
        </w:rPr>
        <w:t xml:space="preserve"> Son </w:t>
      </w:r>
      <w:proofErr w:type="spellStart"/>
      <w:r>
        <w:rPr>
          <w:rFonts w:ascii="Arial" w:hAnsi="Arial" w:cs="Arial"/>
          <w:i/>
          <w:sz w:val="20"/>
          <w:szCs w:val="20"/>
        </w:rPr>
        <w:t>Viglacera</w:t>
      </w:r>
      <w:proofErr w:type="spellEnd"/>
      <w:r>
        <w:rPr>
          <w:rFonts w:ascii="Arial" w:hAnsi="Arial" w:cs="Arial"/>
          <w:i/>
          <w:sz w:val="20"/>
          <w:szCs w:val="20"/>
        </w:rPr>
        <w:t xml:space="preserve"> plant: </w:t>
      </w:r>
      <w:r>
        <w:rPr>
          <w:rFonts w:ascii="Arial" w:hAnsi="Arial" w:cs="Arial"/>
          <w:sz w:val="20"/>
          <w:szCs w:val="20"/>
        </w:rPr>
        <w:t xml:space="preserve"> Stop furnace from 17/02/2015 to 20/3/2015 to maintain and repair annually</w:t>
      </w:r>
    </w:p>
    <w:p w:rsidR="0028681A" w:rsidRDefault="0028681A" w:rsidP="00A13921">
      <w:pPr>
        <w:spacing w:line="360" w:lineRule="auto"/>
        <w:ind w:firstLine="709"/>
        <w:rPr>
          <w:rFonts w:ascii="Arial" w:hAnsi="Arial" w:cs="Arial"/>
          <w:sz w:val="20"/>
          <w:szCs w:val="20"/>
        </w:rPr>
      </w:pPr>
      <w:r>
        <w:rPr>
          <w:rFonts w:ascii="Arial" w:hAnsi="Arial" w:cs="Arial"/>
          <w:sz w:val="20"/>
          <w:szCs w:val="20"/>
        </w:rPr>
        <w:t>-</w:t>
      </w:r>
      <w:r>
        <w:rPr>
          <w:rFonts w:ascii="Arial" w:hAnsi="Arial" w:cs="Arial"/>
          <w:i/>
          <w:sz w:val="20"/>
          <w:szCs w:val="20"/>
        </w:rPr>
        <w:t xml:space="preserve"> At Thai </w:t>
      </w:r>
      <w:proofErr w:type="spellStart"/>
      <w:r>
        <w:rPr>
          <w:rFonts w:ascii="Arial" w:hAnsi="Arial" w:cs="Arial"/>
          <w:i/>
          <w:sz w:val="20"/>
          <w:szCs w:val="20"/>
        </w:rPr>
        <w:t>Binh</w:t>
      </w:r>
      <w:proofErr w:type="spellEnd"/>
      <w:r>
        <w:rPr>
          <w:rFonts w:ascii="Arial" w:hAnsi="Arial" w:cs="Arial"/>
          <w:i/>
          <w:sz w:val="20"/>
          <w:szCs w:val="20"/>
        </w:rPr>
        <w:t xml:space="preserve"> </w:t>
      </w:r>
      <w:proofErr w:type="spellStart"/>
      <w:r>
        <w:rPr>
          <w:rFonts w:ascii="Arial" w:hAnsi="Arial" w:cs="Arial"/>
          <w:i/>
          <w:sz w:val="20"/>
          <w:szCs w:val="20"/>
        </w:rPr>
        <w:t>Viglacera</w:t>
      </w:r>
      <w:proofErr w:type="spellEnd"/>
      <w:r>
        <w:rPr>
          <w:rFonts w:ascii="Arial" w:hAnsi="Arial" w:cs="Arial"/>
          <w:i/>
          <w:sz w:val="20"/>
          <w:szCs w:val="20"/>
        </w:rPr>
        <w:t xml:space="preserve"> plant: </w:t>
      </w:r>
      <w:r w:rsidRPr="0028681A">
        <w:rPr>
          <w:rFonts w:ascii="Arial" w:hAnsi="Arial" w:cs="Arial"/>
          <w:sz w:val="20"/>
          <w:szCs w:val="20"/>
        </w:rPr>
        <w:t>run through Lunar New Year,</w:t>
      </w:r>
      <w:r>
        <w:rPr>
          <w:rFonts w:ascii="Arial" w:hAnsi="Arial" w:cs="Arial"/>
          <w:i/>
          <w:sz w:val="20"/>
          <w:szCs w:val="20"/>
        </w:rPr>
        <w:t xml:space="preserve"> </w:t>
      </w:r>
      <w:r>
        <w:rPr>
          <w:rFonts w:ascii="Arial" w:hAnsi="Arial" w:cs="Arial"/>
          <w:sz w:val="20"/>
          <w:szCs w:val="20"/>
        </w:rPr>
        <w:t>expect stopping furnace to implement conversing from coal to NG gas, combine with annually maintain, repair in July/2015.</w:t>
      </w:r>
    </w:p>
    <w:p w:rsidR="0028681A" w:rsidRDefault="0028681A" w:rsidP="00A13921">
      <w:pPr>
        <w:spacing w:line="360" w:lineRule="auto"/>
        <w:ind w:firstLine="709"/>
        <w:rPr>
          <w:rFonts w:ascii="Arial" w:hAnsi="Arial" w:cs="Arial"/>
          <w:sz w:val="20"/>
          <w:szCs w:val="20"/>
        </w:rPr>
      </w:pPr>
      <w:r>
        <w:rPr>
          <w:rFonts w:ascii="Arial" w:hAnsi="Arial" w:cs="Arial"/>
          <w:sz w:val="20"/>
          <w:szCs w:val="20"/>
        </w:rPr>
        <w:t>5.3. Training activity 2015</w:t>
      </w:r>
    </w:p>
    <w:p w:rsidR="0028681A" w:rsidRDefault="0028681A" w:rsidP="00A13921">
      <w:pPr>
        <w:spacing w:line="360" w:lineRule="auto"/>
        <w:ind w:firstLine="709"/>
        <w:rPr>
          <w:rFonts w:ascii="Arial" w:hAnsi="Arial" w:cs="Arial"/>
          <w:sz w:val="20"/>
          <w:szCs w:val="20"/>
        </w:rPr>
      </w:pPr>
      <w:r>
        <w:rPr>
          <w:rFonts w:ascii="Arial" w:hAnsi="Arial" w:cs="Arial"/>
          <w:sz w:val="20"/>
          <w:szCs w:val="20"/>
        </w:rPr>
        <w:t xml:space="preserve">Coordinate with </w:t>
      </w:r>
      <w:proofErr w:type="spellStart"/>
      <w:r>
        <w:rPr>
          <w:rFonts w:ascii="Arial" w:hAnsi="Arial" w:cs="Arial"/>
          <w:sz w:val="20"/>
          <w:szCs w:val="20"/>
        </w:rPr>
        <w:t>Viglacera</w:t>
      </w:r>
      <w:proofErr w:type="spellEnd"/>
      <w:r>
        <w:rPr>
          <w:rFonts w:ascii="Arial" w:hAnsi="Arial" w:cs="Arial"/>
          <w:sz w:val="20"/>
          <w:szCs w:val="20"/>
        </w:rPr>
        <w:t xml:space="preserve"> Vocational College training management skill, strategic training for staff according to the program of UK </w:t>
      </w:r>
      <w:proofErr w:type="spellStart"/>
      <w:r>
        <w:rPr>
          <w:rFonts w:ascii="Arial" w:hAnsi="Arial" w:cs="Arial"/>
          <w:sz w:val="20"/>
          <w:szCs w:val="20"/>
        </w:rPr>
        <w:t>Proskill</w:t>
      </w:r>
      <w:proofErr w:type="spellEnd"/>
      <w:r w:rsidR="00A13921">
        <w:rPr>
          <w:rFonts w:ascii="Arial" w:hAnsi="Arial" w:cs="Arial"/>
          <w:sz w:val="20"/>
          <w:szCs w:val="20"/>
        </w:rPr>
        <w:t>; technical training for employees to directly operate machine.</w:t>
      </w:r>
    </w:p>
    <w:p w:rsidR="00A13921" w:rsidRDefault="00A13921" w:rsidP="00A13921">
      <w:pPr>
        <w:spacing w:line="360" w:lineRule="auto"/>
        <w:ind w:firstLine="709"/>
        <w:rPr>
          <w:rFonts w:ascii="Arial" w:hAnsi="Arial" w:cs="Arial"/>
          <w:sz w:val="20"/>
          <w:szCs w:val="20"/>
        </w:rPr>
      </w:pPr>
      <w:r>
        <w:rPr>
          <w:rFonts w:ascii="Arial" w:hAnsi="Arial" w:cs="Arial"/>
          <w:sz w:val="20"/>
          <w:szCs w:val="20"/>
        </w:rPr>
        <w:t>5.4. Expected compensation of BOD, SB, divided dividend rate, reward of Executive Board 2015</w:t>
      </w:r>
    </w:p>
    <w:p w:rsidR="00A13921" w:rsidRPr="00A13921" w:rsidRDefault="00A13921" w:rsidP="00A13921">
      <w:pPr>
        <w:spacing w:line="360" w:lineRule="auto"/>
        <w:ind w:firstLine="709"/>
        <w:rPr>
          <w:rFonts w:ascii="Arial" w:hAnsi="Arial" w:cs="Arial"/>
          <w:i/>
          <w:sz w:val="20"/>
          <w:szCs w:val="20"/>
        </w:rPr>
      </w:pPr>
      <w:r w:rsidRPr="00A13921">
        <w:rPr>
          <w:rFonts w:ascii="Arial" w:hAnsi="Arial" w:cs="Arial"/>
          <w:i/>
          <w:sz w:val="20"/>
          <w:szCs w:val="20"/>
        </w:rPr>
        <w:t>5.4.1. Expected compensation of BOD, SB</w:t>
      </w:r>
    </w:p>
    <w:p w:rsidR="00A13921" w:rsidRDefault="00A13921" w:rsidP="00A13921">
      <w:pPr>
        <w:spacing w:line="360" w:lineRule="auto"/>
        <w:ind w:firstLine="709"/>
        <w:rPr>
          <w:rFonts w:ascii="Arial" w:hAnsi="Arial" w:cs="Arial"/>
          <w:sz w:val="20"/>
          <w:szCs w:val="20"/>
        </w:rPr>
      </w:pPr>
      <w:r>
        <w:rPr>
          <w:rFonts w:ascii="Arial" w:hAnsi="Arial" w:cs="Arial"/>
          <w:sz w:val="20"/>
          <w:szCs w:val="20"/>
        </w:rPr>
        <w:t>- Chairman of Board: VND 5,000,000/person/month</w:t>
      </w:r>
    </w:p>
    <w:p w:rsidR="00A13921" w:rsidRDefault="00A13921" w:rsidP="00A13921">
      <w:pPr>
        <w:spacing w:line="360" w:lineRule="auto"/>
        <w:ind w:firstLine="709"/>
        <w:rPr>
          <w:rFonts w:ascii="Arial" w:hAnsi="Arial" w:cs="Arial"/>
          <w:sz w:val="20"/>
          <w:szCs w:val="20"/>
        </w:rPr>
      </w:pPr>
      <w:r>
        <w:rPr>
          <w:rFonts w:ascii="Arial" w:hAnsi="Arial" w:cs="Arial"/>
          <w:sz w:val="20"/>
          <w:szCs w:val="20"/>
        </w:rPr>
        <w:t>- Member of BOD and Manager: VND 4,000,000/person/month</w:t>
      </w:r>
    </w:p>
    <w:p w:rsidR="00A13921" w:rsidRDefault="00A13921" w:rsidP="00A13921">
      <w:pPr>
        <w:spacing w:line="360" w:lineRule="auto"/>
        <w:ind w:firstLine="709"/>
        <w:rPr>
          <w:rFonts w:ascii="Arial" w:hAnsi="Arial" w:cs="Arial"/>
          <w:sz w:val="20"/>
          <w:szCs w:val="20"/>
        </w:rPr>
      </w:pPr>
      <w:r>
        <w:rPr>
          <w:rFonts w:ascii="Arial" w:hAnsi="Arial" w:cs="Arial"/>
          <w:sz w:val="20"/>
          <w:szCs w:val="20"/>
        </w:rPr>
        <w:t>- Other member of BOD: VND 3,000,000/person/month</w:t>
      </w:r>
    </w:p>
    <w:p w:rsidR="00A13921" w:rsidRDefault="00A13921" w:rsidP="00A13921">
      <w:pPr>
        <w:spacing w:line="360" w:lineRule="auto"/>
        <w:ind w:firstLine="709"/>
        <w:rPr>
          <w:rFonts w:ascii="Arial" w:hAnsi="Arial" w:cs="Arial"/>
          <w:sz w:val="20"/>
          <w:szCs w:val="20"/>
        </w:rPr>
      </w:pPr>
      <w:r>
        <w:rPr>
          <w:rFonts w:ascii="Arial" w:hAnsi="Arial" w:cs="Arial"/>
          <w:sz w:val="20"/>
          <w:szCs w:val="20"/>
        </w:rPr>
        <w:t>- Chief of SB: VND 3,500,000/person/month</w:t>
      </w:r>
    </w:p>
    <w:p w:rsidR="00A13921" w:rsidRDefault="00A13921" w:rsidP="00A13921">
      <w:pPr>
        <w:spacing w:line="360" w:lineRule="auto"/>
        <w:ind w:firstLine="709"/>
        <w:rPr>
          <w:rFonts w:ascii="Arial" w:hAnsi="Arial" w:cs="Arial"/>
          <w:sz w:val="20"/>
          <w:szCs w:val="20"/>
        </w:rPr>
      </w:pPr>
      <w:r>
        <w:rPr>
          <w:rFonts w:ascii="Arial" w:hAnsi="Arial" w:cs="Arial"/>
          <w:sz w:val="20"/>
          <w:szCs w:val="20"/>
        </w:rPr>
        <w:t>- Member of SB: VND 1,500,000/person/month</w:t>
      </w:r>
    </w:p>
    <w:p w:rsidR="00A13921" w:rsidRDefault="00A13921" w:rsidP="00A13921">
      <w:pPr>
        <w:spacing w:line="360" w:lineRule="auto"/>
        <w:ind w:firstLine="709"/>
        <w:rPr>
          <w:rFonts w:ascii="Arial" w:hAnsi="Arial" w:cs="Arial"/>
          <w:i/>
          <w:sz w:val="20"/>
          <w:szCs w:val="20"/>
        </w:rPr>
      </w:pPr>
      <w:r w:rsidRPr="00A13921">
        <w:rPr>
          <w:rFonts w:ascii="Arial" w:hAnsi="Arial" w:cs="Arial"/>
          <w:i/>
          <w:sz w:val="20"/>
          <w:szCs w:val="20"/>
        </w:rPr>
        <w:t>5.4.2. Expected divided dividend rate 2015</w:t>
      </w:r>
    </w:p>
    <w:p w:rsidR="00A13921" w:rsidRDefault="00C42306" w:rsidP="00A13921">
      <w:pPr>
        <w:spacing w:line="360" w:lineRule="auto"/>
        <w:ind w:firstLine="709"/>
        <w:rPr>
          <w:rFonts w:ascii="Arial" w:hAnsi="Arial" w:cs="Arial"/>
          <w:sz w:val="20"/>
          <w:szCs w:val="20"/>
        </w:rPr>
      </w:pPr>
      <w:r w:rsidRPr="00C42306">
        <w:rPr>
          <w:rFonts w:ascii="Arial" w:hAnsi="Arial" w:cs="Arial"/>
          <w:sz w:val="20"/>
          <w:szCs w:val="20"/>
        </w:rPr>
        <w:t>Expected divided dividend rate 2015</w:t>
      </w:r>
      <w:r>
        <w:rPr>
          <w:rFonts w:ascii="Arial" w:hAnsi="Arial" w:cs="Arial"/>
          <w:sz w:val="20"/>
          <w:szCs w:val="20"/>
        </w:rPr>
        <w:t xml:space="preserve"> is not lower than 15%</w:t>
      </w:r>
    </w:p>
    <w:p w:rsidR="00C42306" w:rsidRDefault="00C42306" w:rsidP="00A13921">
      <w:pPr>
        <w:spacing w:line="360" w:lineRule="auto"/>
        <w:ind w:firstLine="709"/>
        <w:rPr>
          <w:rFonts w:ascii="Arial" w:hAnsi="Arial" w:cs="Arial"/>
          <w:i/>
          <w:sz w:val="20"/>
          <w:szCs w:val="20"/>
        </w:rPr>
      </w:pPr>
      <w:r>
        <w:rPr>
          <w:rFonts w:ascii="Arial" w:hAnsi="Arial" w:cs="Arial"/>
          <w:i/>
          <w:sz w:val="20"/>
          <w:szCs w:val="20"/>
        </w:rPr>
        <w:t>5.4.3. Expected reward rate of BOD, Executive Board</w:t>
      </w:r>
    </w:p>
    <w:p w:rsidR="00C42306" w:rsidRDefault="00C42306" w:rsidP="00A13921">
      <w:pPr>
        <w:spacing w:line="360" w:lineRule="auto"/>
        <w:ind w:firstLine="709"/>
        <w:rPr>
          <w:rFonts w:ascii="Arial" w:hAnsi="Arial" w:cs="Arial"/>
          <w:sz w:val="20"/>
          <w:szCs w:val="20"/>
        </w:rPr>
      </w:pPr>
      <w:r>
        <w:rPr>
          <w:rFonts w:ascii="Arial" w:hAnsi="Arial" w:cs="Arial"/>
          <w:sz w:val="20"/>
          <w:szCs w:val="20"/>
        </w:rPr>
        <w:t>If profit before taxes of 2015 passes 46 billion dong, the reward of BOD, Executive Board is 50% of passed profit after income taxes</w:t>
      </w:r>
    </w:p>
    <w:p w:rsidR="00C42306" w:rsidRDefault="00C42306" w:rsidP="00A13921">
      <w:pPr>
        <w:spacing w:line="360" w:lineRule="auto"/>
        <w:ind w:firstLine="709"/>
        <w:rPr>
          <w:rFonts w:ascii="Arial" w:hAnsi="Arial" w:cs="Arial"/>
          <w:sz w:val="20"/>
          <w:szCs w:val="20"/>
        </w:rPr>
      </w:pPr>
      <w:r>
        <w:rPr>
          <w:rFonts w:ascii="Arial" w:hAnsi="Arial" w:cs="Arial"/>
          <w:sz w:val="20"/>
          <w:szCs w:val="20"/>
        </w:rPr>
        <w:t xml:space="preserve">5.5. Measure of issue 5,100,000 shares to increase charter capital from 99 billion dong to 150 billion dong and </w:t>
      </w:r>
      <w:r w:rsidRPr="00C42306">
        <w:rPr>
          <w:rFonts w:ascii="Arial" w:hAnsi="Arial" w:cs="Arial"/>
          <w:sz w:val="20"/>
          <w:szCs w:val="20"/>
        </w:rPr>
        <w:t>additional listing</w:t>
      </w:r>
      <w:r>
        <w:rPr>
          <w:rFonts w:ascii="Arial" w:hAnsi="Arial" w:cs="Arial"/>
          <w:sz w:val="20"/>
          <w:szCs w:val="20"/>
        </w:rPr>
        <w:t xml:space="preserve"> at Hanoi Securities Exchange</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a.</w:t>
      </w:r>
      <w:r w:rsidR="00C42306">
        <w:rPr>
          <w:rFonts w:ascii="Arial" w:hAnsi="Arial" w:cs="Arial"/>
          <w:sz w:val="20"/>
          <w:szCs w:val="20"/>
        </w:rPr>
        <w:t xml:space="preserve"> Name of share: </w:t>
      </w:r>
      <w:proofErr w:type="spellStart"/>
      <w:r w:rsidR="00C42306" w:rsidRPr="00452271">
        <w:rPr>
          <w:rFonts w:ascii="Arial" w:hAnsi="Arial" w:cs="Arial"/>
          <w:sz w:val="20"/>
          <w:szCs w:val="20"/>
        </w:rPr>
        <w:t>Viglacera</w:t>
      </w:r>
      <w:proofErr w:type="spellEnd"/>
      <w:r w:rsidR="00C42306" w:rsidRPr="00452271">
        <w:rPr>
          <w:rFonts w:ascii="Arial" w:hAnsi="Arial" w:cs="Arial"/>
          <w:sz w:val="20"/>
          <w:szCs w:val="20"/>
        </w:rPr>
        <w:t xml:space="preserve"> </w:t>
      </w:r>
      <w:proofErr w:type="spellStart"/>
      <w:r w:rsidR="00C42306" w:rsidRPr="00452271">
        <w:rPr>
          <w:rFonts w:ascii="Arial" w:hAnsi="Arial" w:cs="Arial"/>
          <w:sz w:val="20"/>
          <w:szCs w:val="20"/>
        </w:rPr>
        <w:t>Tien</w:t>
      </w:r>
      <w:proofErr w:type="spellEnd"/>
      <w:r w:rsidR="00C42306" w:rsidRPr="00452271">
        <w:rPr>
          <w:rFonts w:ascii="Arial" w:hAnsi="Arial" w:cs="Arial"/>
          <w:sz w:val="20"/>
          <w:szCs w:val="20"/>
        </w:rPr>
        <w:t xml:space="preserve"> Son</w:t>
      </w:r>
      <w:r w:rsidR="00C42306">
        <w:rPr>
          <w:rFonts w:ascii="Arial" w:hAnsi="Arial" w:cs="Arial"/>
          <w:color w:val="531E1E"/>
          <w:sz w:val="20"/>
          <w:szCs w:val="20"/>
          <w:shd w:val="clear" w:color="auto" w:fill="FFFFFF"/>
        </w:rPr>
        <w:t xml:space="preserve"> </w:t>
      </w:r>
      <w:r w:rsidR="00C42306" w:rsidRPr="00452271">
        <w:rPr>
          <w:rFonts w:ascii="Arial" w:hAnsi="Arial" w:cs="Arial"/>
          <w:sz w:val="20"/>
          <w:szCs w:val="20"/>
        </w:rPr>
        <w:t>Joint Stock Company</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b.</w:t>
      </w:r>
      <w:r w:rsidR="00C42306">
        <w:rPr>
          <w:rFonts w:ascii="Arial" w:hAnsi="Arial" w:cs="Arial"/>
          <w:sz w:val="20"/>
          <w:szCs w:val="20"/>
        </w:rPr>
        <w:t xml:space="preserve"> Stock code: VIT</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 xml:space="preserve">c. </w:t>
      </w:r>
      <w:r w:rsidR="00C42306">
        <w:rPr>
          <w:rFonts w:ascii="Arial" w:hAnsi="Arial" w:cs="Arial"/>
          <w:sz w:val="20"/>
          <w:szCs w:val="20"/>
        </w:rPr>
        <w:t>Type of Share: Common Share</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d.</w:t>
      </w:r>
      <w:r w:rsidR="00C42306">
        <w:rPr>
          <w:rFonts w:ascii="Arial" w:hAnsi="Arial" w:cs="Arial"/>
          <w:sz w:val="20"/>
          <w:szCs w:val="20"/>
        </w:rPr>
        <w:t xml:space="preserve"> Par value: VND 10,000/share</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e.</w:t>
      </w:r>
      <w:r w:rsidR="00C42306">
        <w:rPr>
          <w:rFonts w:ascii="Arial" w:hAnsi="Arial" w:cs="Arial"/>
          <w:sz w:val="20"/>
          <w:szCs w:val="20"/>
        </w:rPr>
        <w:t xml:space="preserve"> Total of issued share: 9,900,000 shares</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f.</w:t>
      </w:r>
      <w:r w:rsidR="00C42306">
        <w:rPr>
          <w:rFonts w:ascii="Arial" w:hAnsi="Arial" w:cs="Arial"/>
          <w:sz w:val="20"/>
          <w:szCs w:val="20"/>
        </w:rPr>
        <w:t xml:space="preserve"> Total of expected issuing share: 5,100,000 shares</w:t>
      </w:r>
    </w:p>
    <w:p w:rsidR="00C42306" w:rsidRDefault="00B54B8E" w:rsidP="00A13921">
      <w:pPr>
        <w:spacing w:line="360" w:lineRule="auto"/>
        <w:ind w:firstLine="709"/>
        <w:rPr>
          <w:rFonts w:ascii="Arial" w:hAnsi="Arial" w:cs="Arial"/>
          <w:sz w:val="20"/>
          <w:szCs w:val="20"/>
        </w:rPr>
      </w:pPr>
      <w:r>
        <w:rPr>
          <w:rFonts w:ascii="Arial" w:hAnsi="Arial" w:cs="Arial"/>
          <w:sz w:val="20"/>
          <w:szCs w:val="20"/>
        </w:rPr>
        <w:t>g.</w:t>
      </w:r>
      <w:r w:rsidR="00C42306">
        <w:rPr>
          <w:rFonts w:ascii="Arial" w:hAnsi="Arial" w:cs="Arial"/>
          <w:sz w:val="20"/>
          <w:szCs w:val="20"/>
        </w:rPr>
        <w:t xml:space="preserve"> Total par value: VND 51,000,000,000</w:t>
      </w:r>
    </w:p>
    <w:p w:rsidR="00C42306" w:rsidRDefault="00B54B8E" w:rsidP="00A13921">
      <w:pPr>
        <w:spacing w:line="360" w:lineRule="auto"/>
        <w:ind w:firstLine="709"/>
        <w:rPr>
          <w:rFonts w:ascii="Arial" w:hAnsi="Arial" w:cs="Arial"/>
          <w:sz w:val="20"/>
          <w:szCs w:val="20"/>
        </w:rPr>
      </w:pPr>
      <w:r>
        <w:rPr>
          <w:rFonts w:ascii="Arial" w:hAnsi="Arial" w:cs="Arial"/>
          <w:sz w:val="20"/>
          <w:szCs w:val="20"/>
        </w:rPr>
        <w:lastRenderedPageBreak/>
        <w:t>h.</w:t>
      </w:r>
      <w:r w:rsidR="00C42306">
        <w:rPr>
          <w:rFonts w:ascii="Arial" w:hAnsi="Arial" w:cs="Arial"/>
          <w:sz w:val="20"/>
          <w:szCs w:val="20"/>
        </w:rPr>
        <w:t xml:space="preserve"> Issuing mode: </w:t>
      </w:r>
    </w:p>
    <w:p w:rsidR="00C42306" w:rsidRDefault="00C42306" w:rsidP="00AF4302">
      <w:pPr>
        <w:spacing w:line="360" w:lineRule="auto"/>
        <w:ind w:firstLine="1134"/>
        <w:rPr>
          <w:rFonts w:ascii="Arial" w:hAnsi="Arial" w:cs="Arial"/>
          <w:sz w:val="20"/>
          <w:szCs w:val="20"/>
        </w:rPr>
      </w:pPr>
      <w:r>
        <w:rPr>
          <w:rFonts w:ascii="Arial" w:hAnsi="Arial" w:cs="Arial"/>
          <w:sz w:val="20"/>
          <w:szCs w:val="20"/>
        </w:rPr>
        <w:t>+ Issuing share to pay dividend</w:t>
      </w:r>
    </w:p>
    <w:p w:rsidR="00C42306" w:rsidRDefault="00C42306" w:rsidP="00AF4302">
      <w:pPr>
        <w:spacing w:line="360" w:lineRule="auto"/>
        <w:ind w:firstLine="1134"/>
        <w:rPr>
          <w:rFonts w:ascii="Arial" w:hAnsi="Arial" w:cs="Arial"/>
          <w:sz w:val="20"/>
          <w:szCs w:val="20"/>
        </w:rPr>
      </w:pPr>
      <w:r>
        <w:rPr>
          <w:rFonts w:ascii="Arial" w:hAnsi="Arial" w:cs="Arial"/>
          <w:sz w:val="20"/>
          <w:szCs w:val="20"/>
        </w:rPr>
        <w:t>+ Issuing share to increase equity from owner’s equity</w:t>
      </w:r>
    </w:p>
    <w:p w:rsidR="00C42306" w:rsidRDefault="00C42306" w:rsidP="00AF4302">
      <w:pPr>
        <w:spacing w:line="360" w:lineRule="auto"/>
        <w:ind w:firstLine="1134"/>
        <w:rPr>
          <w:rFonts w:ascii="Arial" w:hAnsi="Arial" w:cs="Arial"/>
          <w:sz w:val="20"/>
          <w:szCs w:val="20"/>
        </w:rPr>
      </w:pPr>
      <w:r>
        <w:rPr>
          <w:rFonts w:ascii="Arial" w:hAnsi="Arial" w:cs="Arial"/>
          <w:sz w:val="20"/>
          <w:szCs w:val="20"/>
        </w:rPr>
        <w:t>+ Offering shares for existing shareholders</w:t>
      </w:r>
    </w:p>
    <w:p w:rsidR="00C42306" w:rsidRDefault="00B54B8E" w:rsidP="00A13921">
      <w:pPr>
        <w:spacing w:line="360" w:lineRule="auto"/>
        <w:ind w:firstLine="709"/>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sidR="00C42306">
        <w:rPr>
          <w:rFonts w:ascii="Arial" w:hAnsi="Arial" w:cs="Arial"/>
          <w:sz w:val="20"/>
          <w:szCs w:val="20"/>
        </w:rPr>
        <w:t xml:space="preserve"> </w:t>
      </w:r>
      <w:r w:rsidR="00AF4302">
        <w:rPr>
          <w:rFonts w:ascii="Arial" w:hAnsi="Arial" w:cs="Arial"/>
          <w:sz w:val="20"/>
          <w:szCs w:val="20"/>
        </w:rPr>
        <w:t>Issuing subject: existing shareholders</w:t>
      </w:r>
    </w:p>
    <w:p w:rsidR="00AF4302" w:rsidRDefault="00B54B8E" w:rsidP="00A13921">
      <w:pPr>
        <w:spacing w:line="360" w:lineRule="auto"/>
        <w:ind w:firstLine="709"/>
        <w:rPr>
          <w:rFonts w:ascii="Arial" w:hAnsi="Arial" w:cs="Arial"/>
          <w:sz w:val="20"/>
          <w:szCs w:val="20"/>
        </w:rPr>
      </w:pPr>
      <w:r>
        <w:rPr>
          <w:rFonts w:ascii="Arial" w:hAnsi="Arial" w:cs="Arial"/>
          <w:sz w:val="20"/>
          <w:szCs w:val="20"/>
        </w:rPr>
        <w:t>j.</w:t>
      </w:r>
      <w:r w:rsidR="00AF4302">
        <w:rPr>
          <w:rFonts w:ascii="Arial" w:hAnsi="Arial" w:cs="Arial"/>
          <w:sz w:val="20"/>
          <w:szCs w:val="20"/>
        </w:rPr>
        <w:t xml:space="preserve"> Charter capital before issuing: VND 99,000,000,000</w:t>
      </w:r>
    </w:p>
    <w:p w:rsidR="00AF4302" w:rsidRDefault="00B54B8E" w:rsidP="00A13921">
      <w:pPr>
        <w:spacing w:line="360" w:lineRule="auto"/>
        <w:ind w:firstLine="709"/>
        <w:rPr>
          <w:rFonts w:ascii="Arial" w:hAnsi="Arial" w:cs="Arial"/>
          <w:sz w:val="20"/>
          <w:szCs w:val="20"/>
        </w:rPr>
      </w:pPr>
      <w:r>
        <w:rPr>
          <w:rFonts w:ascii="Arial" w:hAnsi="Arial" w:cs="Arial"/>
          <w:sz w:val="20"/>
          <w:szCs w:val="20"/>
        </w:rPr>
        <w:t>k.</w:t>
      </w:r>
      <w:r w:rsidR="00AF4302">
        <w:rPr>
          <w:rFonts w:ascii="Arial" w:hAnsi="Arial" w:cs="Arial"/>
          <w:sz w:val="20"/>
          <w:szCs w:val="20"/>
        </w:rPr>
        <w:t xml:space="preserve"> Charter capital after issuing: VND 150,000,000,000</w:t>
      </w:r>
    </w:p>
    <w:p w:rsidR="00AF4302" w:rsidRDefault="00B54B8E" w:rsidP="00A13921">
      <w:pPr>
        <w:spacing w:line="360" w:lineRule="auto"/>
        <w:ind w:firstLine="709"/>
        <w:rPr>
          <w:rFonts w:ascii="Arial" w:hAnsi="Arial" w:cs="Arial"/>
          <w:sz w:val="20"/>
          <w:szCs w:val="20"/>
        </w:rPr>
      </w:pPr>
      <w:r>
        <w:rPr>
          <w:rFonts w:ascii="Arial" w:hAnsi="Arial" w:cs="Arial"/>
          <w:sz w:val="20"/>
          <w:szCs w:val="20"/>
        </w:rPr>
        <w:t>l.</w:t>
      </w:r>
      <w:r w:rsidR="00AF4302">
        <w:rPr>
          <w:rFonts w:ascii="Arial" w:hAnsi="Arial" w:cs="Arial"/>
          <w:sz w:val="20"/>
          <w:szCs w:val="20"/>
        </w:rPr>
        <w:t xml:space="preserve"> Issuing time: After Ministry of Construction approves the policy of increasing capital and be granted</w:t>
      </w:r>
      <w:r w:rsidR="00AF4302" w:rsidRPr="00AF4302">
        <w:rPr>
          <w:rFonts w:ascii="Arial" w:hAnsi="Arial" w:cs="Arial"/>
          <w:sz w:val="20"/>
          <w:szCs w:val="20"/>
        </w:rPr>
        <w:t xml:space="preserve"> </w:t>
      </w:r>
      <w:r w:rsidR="00AF4302">
        <w:rPr>
          <w:rFonts w:ascii="Arial" w:hAnsi="Arial" w:cs="Arial"/>
          <w:sz w:val="20"/>
          <w:szCs w:val="20"/>
        </w:rPr>
        <w:t xml:space="preserve">by </w:t>
      </w:r>
      <w:r w:rsidR="00AF4302" w:rsidRPr="00AF4302">
        <w:rPr>
          <w:rFonts w:ascii="Arial" w:hAnsi="Arial" w:cs="Arial"/>
          <w:sz w:val="20"/>
          <w:szCs w:val="20"/>
        </w:rPr>
        <w:t>State Security Commission of Vietnam</w:t>
      </w:r>
      <w:r w:rsidR="00AF4302">
        <w:rPr>
          <w:rFonts w:ascii="Arial" w:hAnsi="Arial" w:cs="Arial"/>
          <w:sz w:val="20"/>
          <w:szCs w:val="20"/>
        </w:rPr>
        <w:t xml:space="preserve"> the Certificate of offering shares to the public.</w:t>
      </w:r>
    </w:p>
    <w:p w:rsidR="00AF4302" w:rsidRDefault="00B54B8E" w:rsidP="00A13921">
      <w:pPr>
        <w:spacing w:line="360" w:lineRule="auto"/>
        <w:ind w:firstLine="709"/>
        <w:rPr>
          <w:rFonts w:ascii="Arial" w:hAnsi="Arial" w:cs="Arial"/>
          <w:sz w:val="20"/>
          <w:szCs w:val="20"/>
        </w:rPr>
      </w:pPr>
      <w:r>
        <w:rPr>
          <w:rFonts w:ascii="Arial" w:hAnsi="Arial" w:cs="Arial"/>
          <w:sz w:val="20"/>
          <w:szCs w:val="20"/>
        </w:rPr>
        <w:t>m.</w:t>
      </w:r>
      <w:r w:rsidR="00AF4302">
        <w:rPr>
          <w:rFonts w:ascii="Arial" w:hAnsi="Arial" w:cs="Arial"/>
          <w:sz w:val="20"/>
          <w:szCs w:val="20"/>
        </w:rPr>
        <w:t xml:space="preserve"> Commit depositing and listing share</w:t>
      </w:r>
    </w:p>
    <w:p w:rsidR="00AF4302" w:rsidRDefault="00AF4302" w:rsidP="00A13921">
      <w:pPr>
        <w:spacing w:line="360" w:lineRule="auto"/>
        <w:ind w:firstLine="709"/>
        <w:rPr>
          <w:rFonts w:ascii="Arial" w:hAnsi="Arial" w:cs="Arial"/>
          <w:sz w:val="20"/>
          <w:szCs w:val="20"/>
        </w:rPr>
      </w:pPr>
      <w:r>
        <w:rPr>
          <w:rFonts w:ascii="Arial" w:hAnsi="Arial" w:cs="Arial"/>
          <w:sz w:val="20"/>
          <w:szCs w:val="20"/>
        </w:rPr>
        <w:t>Additional listing share will be listed at Vietnam Securities Depository and additional listing at Hanoi Securities Exchange.</w:t>
      </w:r>
    </w:p>
    <w:p w:rsidR="00AF4302" w:rsidRDefault="00B54B8E" w:rsidP="00A13921">
      <w:pPr>
        <w:spacing w:line="360" w:lineRule="auto"/>
        <w:ind w:firstLine="709"/>
        <w:rPr>
          <w:rFonts w:ascii="Arial" w:hAnsi="Arial" w:cs="Arial"/>
          <w:sz w:val="20"/>
          <w:szCs w:val="20"/>
        </w:rPr>
      </w:pPr>
      <w:r>
        <w:rPr>
          <w:rFonts w:ascii="Arial" w:hAnsi="Arial" w:cs="Arial"/>
          <w:sz w:val="20"/>
          <w:szCs w:val="20"/>
        </w:rPr>
        <w:t>n.</w:t>
      </w:r>
      <w:r w:rsidR="00AF4302">
        <w:rPr>
          <w:rFonts w:ascii="Arial" w:hAnsi="Arial" w:cs="Arial"/>
          <w:sz w:val="20"/>
          <w:szCs w:val="20"/>
        </w:rPr>
        <w:t xml:space="preserve"> Measure of mobilizing capital to implement project in case of </w:t>
      </w:r>
      <w:r>
        <w:rPr>
          <w:rFonts w:ascii="Arial" w:hAnsi="Arial" w:cs="Arial"/>
          <w:sz w:val="20"/>
          <w:szCs w:val="20"/>
        </w:rPr>
        <w:t>shares no sold out as planned: If share is not distributed out or issuing time lasts longer than expected, BOD will consider to mobility use the bank loans, other capital sources from profit and depreciation in year to implement investing.</w:t>
      </w:r>
    </w:p>
    <w:p w:rsidR="00B54B8E" w:rsidRDefault="00B54B8E" w:rsidP="00A13921">
      <w:pPr>
        <w:spacing w:line="360" w:lineRule="auto"/>
        <w:ind w:firstLine="709"/>
        <w:rPr>
          <w:rFonts w:ascii="Arial" w:hAnsi="Arial" w:cs="Arial"/>
          <w:sz w:val="20"/>
          <w:szCs w:val="20"/>
        </w:rPr>
      </w:pPr>
      <w:r>
        <w:rPr>
          <w:rFonts w:ascii="Arial" w:hAnsi="Arial" w:cs="Arial"/>
          <w:sz w:val="20"/>
          <w:szCs w:val="20"/>
        </w:rPr>
        <w:t>o. Offering purpose and measure of using capital</w:t>
      </w:r>
    </w:p>
    <w:p w:rsidR="00B54B8E" w:rsidRDefault="00B54B8E" w:rsidP="00B54B8E">
      <w:pPr>
        <w:spacing w:line="360" w:lineRule="auto"/>
        <w:ind w:firstLine="1134"/>
        <w:rPr>
          <w:rFonts w:ascii="Arial" w:hAnsi="Arial" w:cs="Arial"/>
          <w:sz w:val="20"/>
          <w:szCs w:val="20"/>
        </w:rPr>
      </w:pPr>
      <w:r>
        <w:rPr>
          <w:rFonts w:ascii="Arial" w:hAnsi="Arial" w:cs="Arial"/>
          <w:sz w:val="20"/>
          <w:szCs w:val="20"/>
        </w:rPr>
        <w:t>+ Offering purpose:</w:t>
      </w:r>
    </w:p>
    <w:p w:rsidR="00B54B8E" w:rsidRDefault="00B54B8E" w:rsidP="00B54B8E">
      <w:pPr>
        <w:spacing w:line="360" w:lineRule="auto"/>
        <w:ind w:firstLine="1134"/>
        <w:rPr>
          <w:rFonts w:ascii="Arial" w:hAnsi="Arial" w:cs="Arial"/>
          <w:sz w:val="20"/>
          <w:szCs w:val="20"/>
        </w:rPr>
      </w:pPr>
      <w:r>
        <w:rPr>
          <w:rFonts w:ascii="Arial" w:hAnsi="Arial" w:cs="Arial"/>
          <w:sz w:val="20"/>
          <w:szCs w:val="20"/>
        </w:rPr>
        <w:t>All of amount from issuing period will be used to implement the project of production expansion investment phase 2 – production line of grinding granite ceramic tile, with capacity of 2 million m</w:t>
      </w:r>
      <w:r w:rsidRPr="00124536">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xml:space="preserve">/ year at Thai </w:t>
      </w:r>
      <w:proofErr w:type="spellStart"/>
      <w:r>
        <w:rPr>
          <w:rFonts w:ascii="Arial" w:hAnsi="Arial" w:cs="Arial"/>
          <w:sz w:val="20"/>
          <w:szCs w:val="20"/>
        </w:rPr>
        <w:t>Binh</w:t>
      </w:r>
      <w:proofErr w:type="spellEnd"/>
      <w:r>
        <w:rPr>
          <w:rFonts w:ascii="Arial" w:hAnsi="Arial" w:cs="Arial"/>
          <w:sz w:val="20"/>
          <w:szCs w:val="20"/>
        </w:rPr>
        <w:t xml:space="preserve"> </w:t>
      </w:r>
      <w:proofErr w:type="spellStart"/>
      <w:r>
        <w:rPr>
          <w:rFonts w:ascii="Arial" w:hAnsi="Arial" w:cs="Arial"/>
          <w:sz w:val="20"/>
          <w:szCs w:val="20"/>
        </w:rPr>
        <w:t>Viglacera</w:t>
      </w:r>
      <w:proofErr w:type="spellEnd"/>
      <w:r>
        <w:rPr>
          <w:rFonts w:ascii="Arial" w:hAnsi="Arial" w:cs="Arial"/>
          <w:sz w:val="20"/>
          <w:szCs w:val="20"/>
        </w:rPr>
        <w:t xml:space="preserve"> Plant</w:t>
      </w:r>
    </w:p>
    <w:p w:rsidR="00B54B8E" w:rsidRDefault="00B54B8E" w:rsidP="00B54B8E">
      <w:pPr>
        <w:spacing w:line="360" w:lineRule="auto"/>
        <w:ind w:firstLine="1134"/>
        <w:rPr>
          <w:rFonts w:ascii="Arial" w:hAnsi="Arial" w:cs="Arial"/>
          <w:sz w:val="20"/>
          <w:szCs w:val="20"/>
        </w:rPr>
      </w:pPr>
      <w:r>
        <w:rPr>
          <w:rFonts w:ascii="Arial" w:hAnsi="Arial" w:cs="Arial"/>
          <w:sz w:val="20"/>
          <w:szCs w:val="20"/>
        </w:rPr>
        <w:t>+ Using capital:</w:t>
      </w:r>
    </w:p>
    <w:tbl>
      <w:tblPr>
        <w:tblStyle w:val="TableGrid"/>
        <w:tblW w:w="0" w:type="auto"/>
        <w:tblLook w:val="04A0"/>
      </w:tblPr>
      <w:tblGrid>
        <w:gridCol w:w="817"/>
        <w:gridCol w:w="5567"/>
        <w:gridCol w:w="3192"/>
      </w:tblGrid>
      <w:tr w:rsidR="00B54B8E" w:rsidTr="00B54B8E">
        <w:tc>
          <w:tcPr>
            <w:tcW w:w="817" w:type="dxa"/>
          </w:tcPr>
          <w:p w:rsidR="00B54B8E" w:rsidRDefault="00B54B8E" w:rsidP="00B54B8E">
            <w:pPr>
              <w:spacing w:line="360" w:lineRule="auto"/>
              <w:jc w:val="center"/>
              <w:rPr>
                <w:rFonts w:ascii="Arial" w:hAnsi="Arial" w:cs="Arial"/>
                <w:sz w:val="20"/>
                <w:szCs w:val="20"/>
              </w:rPr>
            </w:pPr>
            <w:r>
              <w:rPr>
                <w:rFonts w:ascii="Arial" w:hAnsi="Arial" w:cs="Arial"/>
                <w:sz w:val="20"/>
                <w:szCs w:val="20"/>
              </w:rPr>
              <w:t>No.</w:t>
            </w:r>
          </w:p>
        </w:tc>
        <w:tc>
          <w:tcPr>
            <w:tcW w:w="5567" w:type="dxa"/>
          </w:tcPr>
          <w:p w:rsidR="00B54B8E" w:rsidRDefault="00B54B8E" w:rsidP="00B54B8E">
            <w:pPr>
              <w:spacing w:line="360" w:lineRule="auto"/>
              <w:jc w:val="center"/>
              <w:rPr>
                <w:rFonts w:ascii="Arial" w:hAnsi="Arial" w:cs="Arial"/>
                <w:sz w:val="20"/>
                <w:szCs w:val="20"/>
              </w:rPr>
            </w:pPr>
            <w:r>
              <w:rPr>
                <w:rFonts w:ascii="Arial" w:hAnsi="Arial" w:cs="Arial"/>
                <w:sz w:val="20"/>
                <w:szCs w:val="20"/>
              </w:rPr>
              <w:t>Content</w:t>
            </w:r>
          </w:p>
        </w:tc>
        <w:tc>
          <w:tcPr>
            <w:tcW w:w="3192" w:type="dxa"/>
          </w:tcPr>
          <w:p w:rsidR="00B54B8E" w:rsidRDefault="00B54B8E" w:rsidP="00B54B8E">
            <w:pPr>
              <w:spacing w:line="360" w:lineRule="auto"/>
              <w:jc w:val="center"/>
              <w:rPr>
                <w:rFonts w:ascii="Arial" w:hAnsi="Arial" w:cs="Arial"/>
                <w:sz w:val="20"/>
                <w:szCs w:val="20"/>
              </w:rPr>
            </w:pPr>
            <w:r>
              <w:rPr>
                <w:rFonts w:ascii="Arial" w:hAnsi="Arial" w:cs="Arial"/>
                <w:sz w:val="20"/>
                <w:szCs w:val="20"/>
              </w:rPr>
              <w:t>Amount</w:t>
            </w:r>
          </w:p>
        </w:tc>
      </w:tr>
      <w:tr w:rsidR="00B54B8E" w:rsidTr="00B54B8E">
        <w:tc>
          <w:tcPr>
            <w:tcW w:w="817" w:type="dxa"/>
          </w:tcPr>
          <w:p w:rsidR="00B54B8E" w:rsidRDefault="00B54B8E" w:rsidP="00B54B8E">
            <w:pPr>
              <w:spacing w:line="360" w:lineRule="auto"/>
              <w:rPr>
                <w:rFonts w:ascii="Arial" w:hAnsi="Arial" w:cs="Arial"/>
                <w:sz w:val="20"/>
                <w:szCs w:val="20"/>
              </w:rPr>
            </w:pPr>
            <w:r>
              <w:rPr>
                <w:rFonts w:ascii="Arial" w:hAnsi="Arial" w:cs="Arial"/>
                <w:sz w:val="20"/>
                <w:szCs w:val="20"/>
              </w:rPr>
              <w:t>1</w:t>
            </w:r>
          </w:p>
        </w:tc>
        <w:tc>
          <w:tcPr>
            <w:tcW w:w="5567" w:type="dxa"/>
          </w:tcPr>
          <w:p w:rsidR="00B54B8E" w:rsidRDefault="00B54B8E" w:rsidP="00B54B8E">
            <w:pPr>
              <w:spacing w:line="360" w:lineRule="auto"/>
              <w:rPr>
                <w:rFonts w:ascii="Arial" w:hAnsi="Arial" w:cs="Arial"/>
                <w:sz w:val="20"/>
                <w:szCs w:val="20"/>
              </w:rPr>
            </w:pPr>
            <w:r>
              <w:rPr>
                <w:rFonts w:ascii="Arial" w:hAnsi="Arial" w:cs="Arial"/>
                <w:sz w:val="20"/>
                <w:szCs w:val="20"/>
              </w:rPr>
              <w:t>Implement the project of production expansion investment phase 2 – production line of grinding granite ceramic tile, with capacity of 2 million m</w:t>
            </w:r>
            <w:r w:rsidRPr="00124536">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xml:space="preserve">/ year - Thai </w:t>
            </w:r>
            <w:proofErr w:type="spellStart"/>
            <w:r>
              <w:rPr>
                <w:rFonts w:ascii="Arial" w:hAnsi="Arial" w:cs="Arial"/>
                <w:sz w:val="20"/>
                <w:szCs w:val="20"/>
              </w:rPr>
              <w:t>Binh</w:t>
            </w:r>
            <w:proofErr w:type="spellEnd"/>
            <w:r>
              <w:rPr>
                <w:rFonts w:ascii="Arial" w:hAnsi="Arial" w:cs="Arial"/>
                <w:sz w:val="20"/>
                <w:szCs w:val="20"/>
              </w:rPr>
              <w:t xml:space="preserve"> </w:t>
            </w:r>
            <w:proofErr w:type="spellStart"/>
            <w:r>
              <w:rPr>
                <w:rFonts w:ascii="Arial" w:hAnsi="Arial" w:cs="Arial"/>
                <w:sz w:val="20"/>
                <w:szCs w:val="20"/>
              </w:rPr>
              <w:t>Viglacera</w:t>
            </w:r>
            <w:proofErr w:type="spellEnd"/>
            <w:r>
              <w:rPr>
                <w:rFonts w:ascii="Arial" w:hAnsi="Arial" w:cs="Arial"/>
                <w:sz w:val="20"/>
                <w:szCs w:val="20"/>
              </w:rPr>
              <w:t xml:space="preserve"> Plant</w:t>
            </w:r>
          </w:p>
        </w:tc>
        <w:tc>
          <w:tcPr>
            <w:tcW w:w="3192" w:type="dxa"/>
          </w:tcPr>
          <w:p w:rsidR="00B54B8E" w:rsidRDefault="00B54B8E" w:rsidP="00B54B8E">
            <w:pPr>
              <w:spacing w:line="360" w:lineRule="auto"/>
              <w:jc w:val="right"/>
              <w:rPr>
                <w:rFonts w:ascii="Arial" w:hAnsi="Arial" w:cs="Arial"/>
                <w:sz w:val="20"/>
                <w:szCs w:val="20"/>
              </w:rPr>
            </w:pPr>
            <w:r>
              <w:rPr>
                <w:rFonts w:ascii="Arial" w:hAnsi="Arial" w:cs="Arial"/>
                <w:sz w:val="20"/>
                <w:szCs w:val="20"/>
              </w:rPr>
              <w:t>VND 51,000,000,000</w:t>
            </w:r>
          </w:p>
        </w:tc>
      </w:tr>
      <w:tr w:rsidR="00B54B8E" w:rsidTr="00B54B8E">
        <w:tc>
          <w:tcPr>
            <w:tcW w:w="817" w:type="dxa"/>
          </w:tcPr>
          <w:p w:rsidR="00B54B8E" w:rsidRDefault="00B54B8E" w:rsidP="00B54B8E">
            <w:pPr>
              <w:spacing w:line="360" w:lineRule="auto"/>
              <w:rPr>
                <w:rFonts w:ascii="Arial" w:hAnsi="Arial" w:cs="Arial"/>
                <w:sz w:val="20"/>
                <w:szCs w:val="20"/>
              </w:rPr>
            </w:pPr>
          </w:p>
        </w:tc>
        <w:tc>
          <w:tcPr>
            <w:tcW w:w="5567" w:type="dxa"/>
          </w:tcPr>
          <w:p w:rsidR="00B54B8E" w:rsidRPr="00B54B8E" w:rsidRDefault="00B54B8E" w:rsidP="00B54B8E">
            <w:pPr>
              <w:spacing w:line="360" w:lineRule="auto"/>
              <w:jc w:val="center"/>
              <w:rPr>
                <w:rFonts w:ascii="Arial" w:hAnsi="Arial" w:cs="Arial"/>
                <w:b/>
                <w:sz w:val="20"/>
                <w:szCs w:val="20"/>
              </w:rPr>
            </w:pPr>
            <w:r w:rsidRPr="00B54B8E">
              <w:rPr>
                <w:rFonts w:ascii="Arial" w:hAnsi="Arial" w:cs="Arial"/>
                <w:b/>
                <w:sz w:val="20"/>
                <w:szCs w:val="20"/>
              </w:rPr>
              <w:t>TOTAL</w:t>
            </w:r>
          </w:p>
        </w:tc>
        <w:tc>
          <w:tcPr>
            <w:tcW w:w="3192" w:type="dxa"/>
          </w:tcPr>
          <w:p w:rsidR="00B54B8E" w:rsidRPr="00B54B8E" w:rsidRDefault="00B54B8E" w:rsidP="00B54B8E">
            <w:pPr>
              <w:spacing w:line="360" w:lineRule="auto"/>
              <w:jc w:val="right"/>
              <w:rPr>
                <w:rFonts w:ascii="Arial" w:hAnsi="Arial" w:cs="Arial"/>
                <w:b/>
                <w:sz w:val="20"/>
                <w:szCs w:val="20"/>
              </w:rPr>
            </w:pPr>
            <w:r w:rsidRPr="00B54B8E">
              <w:rPr>
                <w:rFonts w:ascii="Arial" w:hAnsi="Arial" w:cs="Arial"/>
                <w:b/>
                <w:sz w:val="20"/>
                <w:szCs w:val="20"/>
              </w:rPr>
              <w:t>VND 51,000,000,000</w:t>
            </w:r>
          </w:p>
        </w:tc>
      </w:tr>
    </w:tbl>
    <w:p w:rsidR="00B54B8E" w:rsidRDefault="00B54B8E" w:rsidP="00B54B8E">
      <w:pPr>
        <w:spacing w:line="360" w:lineRule="auto"/>
        <w:ind w:firstLine="1134"/>
        <w:rPr>
          <w:rFonts w:ascii="Arial" w:hAnsi="Arial" w:cs="Arial"/>
          <w:sz w:val="20"/>
          <w:szCs w:val="20"/>
        </w:rPr>
      </w:pPr>
    </w:p>
    <w:p w:rsidR="00B54B8E" w:rsidRDefault="00B54B8E" w:rsidP="00A13921">
      <w:pPr>
        <w:spacing w:line="360" w:lineRule="auto"/>
        <w:ind w:firstLine="709"/>
        <w:rPr>
          <w:rFonts w:ascii="Arial" w:hAnsi="Arial" w:cs="Arial"/>
          <w:sz w:val="20"/>
          <w:szCs w:val="20"/>
        </w:rPr>
      </w:pPr>
      <w:r>
        <w:rPr>
          <w:rFonts w:ascii="Arial" w:hAnsi="Arial" w:cs="Arial"/>
          <w:sz w:val="20"/>
          <w:szCs w:val="20"/>
        </w:rPr>
        <w:t>p. Grand authority for BOD to decide problems related to issuing share to increase charter capital</w:t>
      </w:r>
    </w:p>
    <w:p w:rsidR="00B54B8E" w:rsidRDefault="00B54B8E" w:rsidP="00A13921">
      <w:pPr>
        <w:spacing w:line="360" w:lineRule="auto"/>
        <w:ind w:firstLine="709"/>
        <w:rPr>
          <w:rFonts w:ascii="Arial" w:hAnsi="Arial" w:cs="Arial"/>
          <w:sz w:val="20"/>
          <w:szCs w:val="20"/>
        </w:rPr>
      </w:pPr>
      <w:r>
        <w:rPr>
          <w:rFonts w:ascii="Arial" w:hAnsi="Arial" w:cs="Arial"/>
          <w:b/>
          <w:sz w:val="20"/>
          <w:szCs w:val="20"/>
          <w:u w:val="single"/>
        </w:rPr>
        <w:t xml:space="preserve">Article 6: </w:t>
      </w:r>
      <w:r w:rsidR="00EF0B25">
        <w:rPr>
          <w:rFonts w:ascii="Arial" w:hAnsi="Arial" w:cs="Arial"/>
          <w:sz w:val="20"/>
          <w:szCs w:val="20"/>
        </w:rPr>
        <w:t>Approve the selection of AASC Auditing Company Limited to examine semiannual financial statement and audit financial statement 2015</w:t>
      </w:r>
    </w:p>
    <w:p w:rsidR="00EF0B25" w:rsidRDefault="00EF0B25" w:rsidP="00A13921">
      <w:pPr>
        <w:spacing w:line="360" w:lineRule="auto"/>
        <w:ind w:firstLine="709"/>
        <w:rPr>
          <w:rFonts w:ascii="Arial" w:hAnsi="Arial" w:cs="Arial"/>
          <w:sz w:val="20"/>
          <w:szCs w:val="20"/>
        </w:rPr>
      </w:pPr>
      <w:r>
        <w:rPr>
          <w:rFonts w:ascii="Arial" w:hAnsi="Arial" w:cs="Arial"/>
          <w:b/>
          <w:sz w:val="20"/>
          <w:szCs w:val="20"/>
          <w:u w:val="single"/>
        </w:rPr>
        <w:lastRenderedPageBreak/>
        <w:t xml:space="preserve">Article 7: </w:t>
      </w:r>
      <w:r>
        <w:rPr>
          <w:rFonts w:ascii="Arial" w:hAnsi="Arial" w:cs="Arial"/>
          <w:sz w:val="20"/>
          <w:szCs w:val="20"/>
        </w:rPr>
        <w:t>Approve the commission of AGM</w:t>
      </w:r>
    </w:p>
    <w:p w:rsidR="00EF0B25" w:rsidRDefault="00EF0B25" w:rsidP="00A13921">
      <w:pPr>
        <w:spacing w:line="360" w:lineRule="auto"/>
        <w:ind w:firstLine="709"/>
        <w:rPr>
          <w:rFonts w:ascii="Arial" w:hAnsi="Arial" w:cs="Arial"/>
          <w:sz w:val="20"/>
          <w:szCs w:val="20"/>
        </w:rPr>
      </w:pPr>
      <w:r>
        <w:rPr>
          <w:rFonts w:ascii="Arial" w:hAnsi="Arial" w:cs="Arial"/>
          <w:b/>
          <w:sz w:val="20"/>
          <w:szCs w:val="20"/>
          <w:u w:val="single"/>
        </w:rPr>
        <w:t>Article 8:</w:t>
      </w:r>
      <w:r>
        <w:rPr>
          <w:rFonts w:ascii="Arial" w:hAnsi="Arial" w:cs="Arial"/>
          <w:sz w:val="20"/>
          <w:szCs w:val="20"/>
        </w:rPr>
        <w:t xml:space="preserve"> Announcing information: Information of business production operation of the Company is posted on Website: </w:t>
      </w:r>
      <w:hyperlink r:id="rId5" w:history="1">
        <w:r w:rsidRPr="00064D37">
          <w:rPr>
            <w:rStyle w:val="Hyperlink"/>
            <w:rFonts w:ascii="Arial" w:hAnsi="Arial" w:cs="Arial"/>
            <w:sz w:val="20"/>
            <w:szCs w:val="20"/>
          </w:rPr>
          <w:t>www.viglaceratienson.com</w:t>
        </w:r>
      </w:hyperlink>
    </w:p>
    <w:p w:rsidR="00EF0B25" w:rsidRPr="00EF0B25" w:rsidRDefault="00EF0B25" w:rsidP="00A13921">
      <w:pPr>
        <w:spacing w:line="360" w:lineRule="auto"/>
        <w:ind w:firstLine="709"/>
        <w:rPr>
          <w:rFonts w:ascii="Arial" w:hAnsi="Arial" w:cs="Arial"/>
          <w:sz w:val="20"/>
          <w:szCs w:val="20"/>
        </w:rPr>
      </w:pPr>
      <w:r>
        <w:rPr>
          <w:rFonts w:ascii="Arial" w:hAnsi="Arial" w:cs="Arial"/>
          <w:b/>
          <w:sz w:val="20"/>
          <w:szCs w:val="20"/>
          <w:u w:val="single"/>
        </w:rPr>
        <w:t xml:space="preserve">Article 9: </w:t>
      </w:r>
      <w:r>
        <w:rPr>
          <w:rFonts w:ascii="Arial" w:hAnsi="Arial" w:cs="Arial"/>
          <w:sz w:val="20"/>
          <w:szCs w:val="20"/>
        </w:rPr>
        <w:t>AGM assign BOD, SB to implement contents of Resolution and report the results in next Annual General Meeting of Shareholders</w:t>
      </w:r>
    </w:p>
    <w:sectPr w:rsidR="00EF0B25" w:rsidRPr="00EF0B25" w:rsidSect="007F3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C8B"/>
    <w:multiLevelType w:val="hybridMultilevel"/>
    <w:tmpl w:val="3572BFC8"/>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
    <w:nsid w:val="10E30051"/>
    <w:multiLevelType w:val="hybridMultilevel"/>
    <w:tmpl w:val="2CA40A1C"/>
    <w:lvl w:ilvl="0" w:tplc="78388692">
      <w:start w:val="1"/>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ECA6276"/>
    <w:multiLevelType w:val="hybridMultilevel"/>
    <w:tmpl w:val="CB203B8A"/>
    <w:lvl w:ilvl="0" w:tplc="0409000D">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CC052D0"/>
    <w:multiLevelType w:val="hybridMultilevel"/>
    <w:tmpl w:val="2B9C5864"/>
    <w:lvl w:ilvl="0" w:tplc="6D28273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96FAC"/>
    <w:rsid w:val="00043900"/>
    <w:rsid w:val="000D1D33"/>
    <w:rsid w:val="000D41F2"/>
    <w:rsid w:val="000E7484"/>
    <w:rsid w:val="00124536"/>
    <w:rsid w:val="001F24A8"/>
    <w:rsid w:val="0028681A"/>
    <w:rsid w:val="00292AEB"/>
    <w:rsid w:val="00327463"/>
    <w:rsid w:val="003D62F3"/>
    <w:rsid w:val="0043026A"/>
    <w:rsid w:val="00452271"/>
    <w:rsid w:val="00531A78"/>
    <w:rsid w:val="005532BD"/>
    <w:rsid w:val="00564C61"/>
    <w:rsid w:val="007F354B"/>
    <w:rsid w:val="00875F0C"/>
    <w:rsid w:val="00896FAC"/>
    <w:rsid w:val="0093558F"/>
    <w:rsid w:val="00A13921"/>
    <w:rsid w:val="00AF4302"/>
    <w:rsid w:val="00B54B8E"/>
    <w:rsid w:val="00B76E22"/>
    <w:rsid w:val="00BD2B1E"/>
    <w:rsid w:val="00BF6218"/>
    <w:rsid w:val="00C42306"/>
    <w:rsid w:val="00D467A0"/>
    <w:rsid w:val="00E56D4F"/>
    <w:rsid w:val="00ED5421"/>
    <w:rsid w:val="00EF0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AC"/>
    <w:pPr>
      <w:ind w:left="720"/>
      <w:contextualSpacing/>
    </w:pPr>
  </w:style>
  <w:style w:type="table" w:styleId="TableGrid">
    <w:name w:val="Table Grid"/>
    <w:basedOn w:val="TableNormal"/>
    <w:uiPriority w:val="59"/>
    <w:rsid w:val="0093558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F0B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glaceratiens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2015-02-10T04:29:00Z</dcterms:created>
  <dcterms:modified xsi:type="dcterms:W3CDTF">2015-02-10T08:33:00Z</dcterms:modified>
</cp:coreProperties>
</file>